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84042" w14:textId="363EAF03" w:rsidR="006E2B6B" w:rsidRDefault="007A5EAB" w:rsidP="002963AA">
      <w:pPr>
        <w:pStyle w:val="Title"/>
        <w:rPr>
          <w:rFonts w:ascii="Arial" w:hAnsi="Arial" w:cs="Arial"/>
          <w:sz w:val="32"/>
          <w:szCs w:val="32"/>
        </w:rPr>
      </w:pPr>
      <w:r w:rsidRPr="00010925">
        <w:rPr>
          <w:rFonts w:ascii="Times New Roman" w:hAnsi="Times New Roman"/>
          <w:noProof/>
          <w:sz w:val="24"/>
          <w:lang w:eastAsia="en-GB"/>
        </w:rPr>
        <w:drawing>
          <wp:inline distT="0" distB="0" distL="0" distR="0" wp14:anchorId="1DCCE9E6" wp14:editId="2FD11329">
            <wp:extent cx="5732145" cy="1525862"/>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145" cy="1525862"/>
                    </a:xfrm>
                    <a:prstGeom prst="rect">
                      <a:avLst/>
                    </a:prstGeom>
                    <a:noFill/>
                    <a:ln>
                      <a:noFill/>
                    </a:ln>
                  </pic:spPr>
                </pic:pic>
              </a:graphicData>
            </a:graphic>
          </wp:inline>
        </w:drawing>
      </w:r>
    </w:p>
    <w:p w14:paraId="3D669C86" w14:textId="2A48F909" w:rsidR="002963AA" w:rsidRPr="009C57D5" w:rsidRDefault="002963AA" w:rsidP="002963AA">
      <w:pPr>
        <w:shd w:val="clear" w:color="auto" w:fill="FFFFFF"/>
        <w:jc w:val="center"/>
        <w:rPr>
          <w:rFonts w:ascii="Arial" w:hAnsi="Arial"/>
          <w:b/>
          <w:sz w:val="32"/>
          <w:szCs w:val="32"/>
        </w:rPr>
      </w:pPr>
    </w:p>
    <w:p w14:paraId="248F998C" w14:textId="77777777" w:rsidR="002963AA" w:rsidRPr="009C57D5" w:rsidRDefault="002963AA" w:rsidP="002963AA">
      <w:pPr>
        <w:shd w:val="clear" w:color="auto" w:fill="FFFFFF"/>
        <w:rPr>
          <w:rFonts w:ascii="Arial" w:hAnsi="Arial"/>
          <w:b/>
          <w:sz w:val="32"/>
          <w:szCs w:val="32"/>
        </w:rPr>
      </w:pPr>
    </w:p>
    <w:p w14:paraId="340253AC" w14:textId="31D9C515" w:rsidR="008147AA" w:rsidRDefault="008147AA" w:rsidP="002963AA">
      <w:pPr>
        <w:shd w:val="clear" w:color="auto" w:fill="FFFFFF"/>
        <w:rPr>
          <w:rFonts w:ascii="Arial" w:hAnsi="Arial"/>
          <w:b/>
          <w:sz w:val="32"/>
          <w:szCs w:val="32"/>
        </w:rPr>
      </w:pPr>
    </w:p>
    <w:p w14:paraId="5E74F329" w14:textId="77777777" w:rsidR="007A5EAB" w:rsidRDefault="007A5EAB" w:rsidP="002963AA">
      <w:pPr>
        <w:shd w:val="clear" w:color="auto" w:fill="FFFFFF"/>
        <w:rPr>
          <w:rFonts w:ascii="Arial" w:hAnsi="Arial"/>
          <w:b/>
          <w:sz w:val="32"/>
          <w:szCs w:val="32"/>
        </w:rPr>
      </w:pPr>
    </w:p>
    <w:p w14:paraId="4E91CC8C" w14:textId="77777777" w:rsidR="007A5EAB" w:rsidRPr="009C57D5" w:rsidRDefault="007A5EAB" w:rsidP="002963AA">
      <w:pPr>
        <w:shd w:val="clear" w:color="auto" w:fill="FFFFFF"/>
        <w:rPr>
          <w:rFonts w:ascii="Arial" w:hAnsi="Arial"/>
          <w:b/>
          <w:sz w:val="32"/>
          <w:szCs w:val="32"/>
        </w:rPr>
      </w:pPr>
    </w:p>
    <w:p w14:paraId="5850AFB8" w14:textId="3B464AF2" w:rsidR="00737433" w:rsidRDefault="00044D28" w:rsidP="00AE331D">
      <w:pPr>
        <w:pStyle w:val="Header"/>
      </w:pPr>
      <w:r>
        <w:t>I</w:t>
      </w:r>
      <w:r w:rsidR="00556F66">
        <w:t>nvestment Strategy Statement</w:t>
      </w:r>
    </w:p>
    <w:p w14:paraId="2A721590" w14:textId="77777777" w:rsidR="007565B6" w:rsidRDefault="007565B6" w:rsidP="002963AA">
      <w:pPr>
        <w:shd w:val="clear" w:color="auto" w:fill="FFFFFF"/>
        <w:rPr>
          <w:rFonts w:ascii="Arial" w:hAnsi="Arial"/>
          <w:b/>
        </w:rPr>
      </w:pPr>
    </w:p>
    <w:p w14:paraId="75B2087B" w14:textId="77777777" w:rsidR="007565B6" w:rsidRDefault="007565B6" w:rsidP="002963AA">
      <w:pPr>
        <w:shd w:val="clear" w:color="auto" w:fill="FFFFFF"/>
        <w:rPr>
          <w:rFonts w:ascii="Arial" w:hAnsi="Arial"/>
          <w:b/>
        </w:rPr>
      </w:pPr>
    </w:p>
    <w:p w14:paraId="49FC4859" w14:textId="77777777" w:rsidR="00737433" w:rsidRDefault="00737433" w:rsidP="002963AA">
      <w:pPr>
        <w:shd w:val="clear" w:color="auto" w:fill="FFFFFF"/>
        <w:rPr>
          <w:rFonts w:ascii="Arial" w:hAnsi="Arial"/>
          <w:b/>
        </w:rPr>
      </w:pPr>
    </w:p>
    <w:p w14:paraId="6E706D4C" w14:textId="77777777" w:rsidR="009C57D5" w:rsidRDefault="009C57D5" w:rsidP="002963AA">
      <w:pPr>
        <w:shd w:val="clear" w:color="auto" w:fill="FFFFFF"/>
        <w:rPr>
          <w:rFonts w:ascii="Arial" w:hAnsi="Arial"/>
          <w:b/>
        </w:rPr>
      </w:pPr>
    </w:p>
    <w:p w14:paraId="6A1DFD2F" w14:textId="77777777" w:rsidR="009C57D5" w:rsidRDefault="009C57D5" w:rsidP="002963AA">
      <w:pPr>
        <w:shd w:val="clear" w:color="auto" w:fill="FFFFFF"/>
        <w:rPr>
          <w:rFonts w:ascii="Arial" w:hAnsi="Arial"/>
          <w:b/>
        </w:rPr>
      </w:pPr>
    </w:p>
    <w:p w14:paraId="1B86E897" w14:textId="77777777" w:rsidR="00AE331D" w:rsidRDefault="00AE331D" w:rsidP="002963AA">
      <w:pPr>
        <w:shd w:val="clear" w:color="auto" w:fill="FFFFFF"/>
        <w:rPr>
          <w:rFonts w:ascii="Arial" w:hAnsi="Arial"/>
          <w:b/>
        </w:rPr>
      </w:pPr>
    </w:p>
    <w:p w14:paraId="2195ADA4" w14:textId="77777777" w:rsidR="00AE331D" w:rsidRDefault="00AE331D" w:rsidP="002963AA">
      <w:pPr>
        <w:shd w:val="clear" w:color="auto" w:fill="FFFFFF"/>
        <w:rPr>
          <w:rFonts w:ascii="Arial" w:hAnsi="Arial"/>
          <w:b/>
        </w:rPr>
      </w:pPr>
    </w:p>
    <w:p w14:paraId="06333CAE" w14:textId="79E9A00B" w:rsidR="00AE331D" w:rsidRDefault="00556F66" w:rsidP="002963AA">
      <w:pPr>
        <w:shd w:val="clear" w:color="auto" w:fill="FFFFFF"/>
        <w:rPr>
          <w:rFonts w:ascii="Arial" w:hAnsi="Arial"/>
          <w:b/>
        </w:rPr>
      </w:pPr>
      <w:r w:rsidRPr="007A230E">
        <w:rPr>
          <w:noProof/>
          <w:lang w:eastAsia="en-GB"/>
        </w:rPr>
        <w:drawing>
          <wp:anchor distT="0" distB="0" distL="114300" distR="114300" simplePos="0" relativeHeight="251658241" behindDoc="1" locked="0" layoutInCell="1" allowOverlap="1" wp14:anchorId="01EA36B9" wp14:editId="666846E0">
            <wp:simplePos x="0" y="0"/>
            <wp:positionH relativeFrom="column">
              <wp:posOffset>702192</wp:posOffset>
            </wp:positionH>
            <wp:positionV relativeFrom="paragraph">
              <wp:posOffset>65863</wp:posOffset>
            </wp:positionV>
            <wp:extent cx="4337050" cy="966789"/>
            <wp:effectExtent l="0" t="0" r="6350" b="5080"/>
            <wp:wrapTight wrapText="bothSides">
              <wp:wrapPolygon edited="0">
                <wp:start x="0" y="0"/>
                <wp:lineTo x="0" y="21288"/>
                <wp:lineTo x="21537" y="21288"/>
                <wp:lineTo x="215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7050" cy="9667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B995A" w14:textId="03D34122" w:rsidR="00AE331D" w:rsidRDefault="00AE331D" w:rsidP="002963AA">
      <w:pPr>
        <w:shd w:val="clear" w:color="auto" w:fill="FFFFFF"/>
        <w:rPr>
          <w:rFonts w:ascii="Arial" w:hAnsi="Arial"/>
          <w:b/>
        </w:rPr>
      </w:pPr>
    </w:p>
    <w:p w14:paraId="3027101A" w14:textId="026B8455" w:rsidR="00AE331D" w:rsidRDefault="00AE331D" w:rsidP="002963AA">
      <w:pPr>
        <w:shd w:val="clear" w:color="auto" w:fill="FFFFFF"/>
        <w:rPr>
          <w:rFonts w:ascii="Arial" w:hAnsi="Arial"/>
          <w:b/>
        </w:rPr>
      </w:pPr>
    </w:p>
    <w:p w14:paraId="65A17967" w14:textId="69DA61DF" w:rsidR="00AE331D" w:rsidRDefault="00AE331D" w:rsidP="002963AA">
      <w:pPr>
        <w:shd w:val="clear" w:color="auto" w:fill="FFFFFF"/>
        <w:rPr>
          <w:rFonts w:ascii="Arial" w:hAnsi="Arial"/>
          <w:b/>
        </w:rPr>
      </w:pPr>
    </w:p>
    <w:p w14:paraId="7EBB5AF3" w14:textId="5F6372C0" w:rsidR="00AE331D" w:rsidRDefault="00AE331D" w:rsidP="00AE331D">
      <w:pPr>
        <w:shd w:val="clear" w:color="auto" w:fill="FFFFFF"/>
        <w:jc w:val="center"/>
        <w:rPr>
          <w:rFonts w:ascii="Arial" w:hAnsi="Arial"/>
          <w:b/>
        </w:rPr>
      </w:pPr>
    </w:p>
    <w:p w14:paraId="749D2A1D" w14:textId="77777777" w:rsidR="00AE331D" w:rsidRDefault="00AE331D" w:rsidP="002963AA">
      <w:pPr>
        <w:shd w:val="clear" w:color="auto" w:fill="FFFFFF"/>
        <w:rPr>
          <w:rFonts w:ascii="Arial" w:hAnsi="Arial"/>
          <w:b/>
        </w:rPr>
      </w:pPr>
    </w:p>
    <w:p w14:paraId="4C6594E5" w14:textId="77777777" w:rsidR="00AE331D" w:rsidRDefault="00AE331D" w:rsidP="002963AA">
      <w:pPr>
        <w:shd w:val="clear" w:color="auto" w:fill="FFFFFF"/>
        <w:rPr>
          <w:rFonts w:ascii="Arial" w:hAnsi="Arial"/>
          <w:b/>
        </w:rPr>
      </w:pPr>
    </w:p>
    <w:p w14:paraId="700DE07E" w14:textId="77777777" w:rsidR="00AE331D" w:rsidRDefault="00AE331D" w:rsidP="002963AA">
      <w:pPr>
        <w:shd w:val="clear" w:color="auto" w:fill="FFFFFF"/>
        <w:rPr>
          <w:rFonts w:ascii="Arial" w:hAnsi="Arial"/>
          <w:b/>
        </w:rPr>
      </w:pPr>
    </w:p>
    <w:p w14:paraId="5F6A30AA" w14:textId="77777777" w:rsidR="00AE331D" w:rsidRDefault="00AE331D" w:rsidP="002963AA">
      <w:pPr>
        <w:shd w:val="clear" w:color="auto" w:fill="FFFFFF"/>
        <w:rPr>
          <w:rFonts w:ascii="Arial" w:hAnsi="Arial"/>
          <w:b/>
        </w:rPr>
      </w:pPr>
    </w:p>
    <w:p w14:paraId="07D9E35F" w14:textId="77777777" w:rsidR="00AE331D" w:rsidRDefault="00AE331D" w:rsidP="002963AA">
      <w:pPr>
        <w:shd w:val="clear" w:color="auto" w:fill="FFFFFF"/>
        <w:rPr>
          <w:rFonts w:ascii="Arial" w:hAnsi="Arial"/>
          <w:b/>
        </w:rPr>
      </w:pPr>
    </w:p>
    <w:p w14:paraId="4CF45F6B" w14:textId="77777777" w:rsidR="00AE331D" w:rsidRDefault="00AE331D" w:rsidP="002963AA">
      <w:pPr>
        <w:shd w:val="clear" w:color="auto" w:fill="FFFFFF"/>
        <w:rPr>
          <w:rFonts w:ascii="Arial" w:hAnsi="Arial"/>
          <w:b/>
        </w:rPr>
      </w:pPr>
    </w:p>
    <w:p w14:paraId="00D33172" w14:textId="77777777" w:rsidR="007A5EAB" w:rsidRDefault="007A5EAB" w:rsidP="002963AA">
      <w:pPr>
        <w:shd w:val="clear" w:color="auto" w:fill="FFFFFF"/>
        <w:rPr>
          <w:rFonts w:ascii="Arial" w:hAnsi="Arial"/>
          <w:b/>
        </w:rPr>
      </w:pPr>
    </w:p>
    <w:p w14:paraId="7D8481F8" w14:textId="77777777" w:rsidR="007A5EAB" w:rsidRDefault="007A5EAB" w:rsidP="002963AA">
      <w:pPr>
        <w:shd w:val="clear" w:color="auto" w:fill="FFFFFF"/>
        <w:rPr>
          <w:rFonts w:ascii="Arial" w:hAnsi="Arial"/>
          <w:b/>
        </w:rPr>
      </w:pPr>
    </w:p>
    <w:p w14:paraId="55FD76A5" w14:textId="77777777" w:rsidR="00AE331D" w:rsidRDefault="00AE331D" w:rsidP="002963AA">
      <w:pPr>
        <w:shd w:val="clear" w:color="auto" w:fill="FFFFFF"/>
        <w:rPr>
          <w:rFonts w:ascii="Arial" w:hAnsi="Arial"/>
          <w:b/>
        </w:rPr>
      </w:pPr>
    </w:p>
    <w:p w14:paraId="77BD6B8F" w14:textId="77777777" w:rsidR="00AE331D" w:rsidRDefault="00AE331D" w:rsidP="002963AA">
      <w:pPr>
        <w:shd w:val="clear" w:color="auto" w:fill="FFFFFF"/>
        <w:rPr>
          <w:rFonts w:ascii="Arial" w:hAnsi="Arial"/>
          <w:b/>
        </w:rPr>
      </w:pPr>
      <w:r w:rsidRPr="00B35957">
        <w:rPr>
          <w:rFonts w:ascii="Arial" w:hAnsi="Arial"/>
          <w:b/>
          <w:noProof/>
          <w:lang w:eastAsia="en-GB"/>
        </w:rPr>
        <mc:AlternateContent>
          <mc:Choice Requires="wps">
            <w:drawing>
              <wp:anchor distT="0" distB="0" distL="114300" distR="114300" simplePos="0" relativeHeight="251658240" behindDoc="0" locked="0" layoutInCell="1" allowOverlap="1" wp14:anchorId="39A8FAB4" wp14:editId="22A6A408">
                <wp:simplePos x="0" y="0"/>
                <wp:positionH relativeFrom="margin">
                  <wp:align>center</wp:align>
                </wp:positionH>
                <wp:positionV relativeFrom="paragraph">
                  <wp:posOffset>68580</wp:posOffset>
                </wp:positionV>
                <wp:extent cx="5181600" cy="673100"/>
                <wp:effectExtent l="0" t="0" r="0"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67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F0FA3" w14:textId="77777777" w:rsidR="00B35957" w:rsidRPr="00AE331D" w:rsidRDefault="00B35957" w:rsidP="00AE331D">
                            <w:pPr>
                              <w:jc w:val="center"/>
                              <w:rPr>
                                <w:rFonts w:cstheme="minorHAnsi"/>
                                <w:b/>
                                <w:szCs w:val="22"/>
                              </w:rPr>
                            </w:pPr>
                            <w:r w:rsidRPr="00AE331D">
                              <w:rPr>
                                <w:rFonts w:cstheme="minorHAnsi"/>
                                <w:b/>
                                <w:szCs w:val="22"/>
                              </w:rPr>
                              <w:t>If you require this information in an alternative language or another format such as</w:t>
                            </w:r>
                            <w:r w:rsidRPr="00AE331D">
                              <w:rPr>
                                <w:rFonts w:cstheme="minorHAnsi"/>
                                <w:b/>
                                <w:i/>
                                <w:szCs w:val="22"/>
                              </w:rPr>
                              <w:t xml:space="preserve"> </w:t>
                            </w:r>
                            <w:r w:rsidRPr="00AE331D">
                              <w:rPr>
                                <w:rFonts w:cstheme="minorHAnsi"/>
                                <w:b/>
                                <w:szCs w:val="22"/>
                              </w:rPr>
                              <w:t>large type, audio cassette or Braille, please contact the Pensions Help &amp; Information Line on 01609 536335</w:t>
                            </w:r>
                          </w:p>
                          <w:p w14:paraId="26C7C85E" w14:textId="77777777" w:rsidR="00B35957" w:rsidRDefault="00B35957" w:rsidP="00AE331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8FAB4" id="Rectangle 35" o:spid="_x0000_s1026" style="position:absolute;left:0;text-align:left;margin-left:0;margin-top:5.4pt;width:408pt;height:5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" stroked="f">
                <v:textbox>
                  <w:txbxContent>
                    <w:p w14:paraId="72BF0FA3" w14:textId="77777777" w:rsidR="00B35957" w:rsidRPr="00AE331D" w:rsidRDefault="00B35957" w:rsidP="00AE331D">
                      <w:pPr>
                        <w:jc w:val="center"/>
                        <w:rPr>
                          <w:rFonts w:cstheme="minorHAnsi"/>
                          <w:b/>
                          <w:szCs w:val="22"/>
                        </w:rPr>
                      </w:pPr>
                      <w:r w:rsidRPr="00AE331D">
                        <w:rPr>
                          <w:rFonts w:cstheme="minorHAnsi"/>
                          <w:b/>
                          <w:szCs w:val="22"/>
                        </w:rPr>
                        <w:t>If you require this information in an alternative language or another format such as</w:t>
                      </w:r>
                      <w:r w:rsidRPr="00AE331D">
                        <w:rPr>
                          <w:rFonts w:cstheme="minorHAnsi"/>
                          <w:b/>
                          <w:i/>
                          <w:szCs w:val="22"/>
                        </w:rPr>
                        <w:t xml:space="preserve"> </w:t>
                      </w:r>
                      <w:r w:rsidRPr="00AE331D">
                        <w:rPr>
                          <w:rFonts w:cstheme="minorHAnsi"/>
                          <w:b/>
                          <w:szCs w:val="22"/>
                        </w:rPr>
                        <w:t>large type, audio cassette or Braille, please contact the Pensions Help &amp; Information Line on 01609 536335</w:t>
                      </w:r>
                    </w:p>
                    <w:p w14:paraId="26C7C85E" w14:textId="77777777" w:rsidR="00B35957" w:rsidRDefault="00B35957" w:rsidP="00AE331D">
                      <w:pPr>
                        <w:jc w:val="center"/>
                      </w:pPr>
                    </w:p>
                  </w:txbxContent>
                </v:textbox>
                <w10:wrap anchorx="margin"/>
              </v:rect>
            </w:pict>
          </mc:Fallback>
        </mc:AlternateContent>
      </w:r>
    </w:p>
    <w:p w14:paraId="38D44210" w14:textId="77777777" w:rsidR="00AE331D" w:rsidRDefault="00AE331D" w:rsidP="002963AA">
      <w:pPr>
        <w:shd w:val="clear" w:color="auto" w:fill="FFFFFF"/>
        <w:rPr>
          <w:rFonts w:ascii="Arial" w:hAnsi="Arial"/>
          <w:b/>
        </w:rPr>
      </w:pPr>
    </w:p>
    <w:p w14:paraId="41F7360E" w14:textId="77777777" w:rsidR="00AE331D" w:rsidRDefault="00AE331D" w:rsidP="002963AA">
      <w:pPr>
        <w:shd w:val="clear" w:color="auto" w:fill="FFFFFF"/>
        <w:rPr>
          <w:rFonts w:ascii="Arial" w:hAnsi="Arial"/>
          <w:b/>
        </w:rPr>
      </w:pPr>
    </w:p>
    <w:p w14:paraId="43E1938C" w14:textId="77777777" w:rsidR="00AE331D" w:rsidRDefault="00AE331D" w:rsidP="002963AA">
      <w:pPr>
        <w:shd w:val="clear" w:color="auto" w:fill="FFFFFF"/>
        <w:rPr>
          <w:rFonts w:ascii="Arial" w:hAnsi="Arial"/>
          <w:b/>
        </w:rPr>
      </w:pPr>
    </w:p>
    <w:p w14:paraId="3FE6413E" w14:textId="77777777" w:rsidR="00AE331D" w:rsidRDefault="00AE331D" w:rsidP="002963AA">
      <w:pPr>
        <w:shd w:val="clear" w:color="auto" w:fill="FFFFFF"/>
        <w:rPr>
          <w:rFonts w:ascii="Arial" w:hAnsi="Arial"/>
          <w:b/>
        </w:rPr>
      </w:pPr>
    </w:p>
    <w:p w14:paraId="7F61CA20" w14:textId="77777777" w:rsidR="00B35957" w:rsidRDefault="00B35957">
      <w:pPr>
        <w:jc w:val="left"/>
        <w:rPr>
          <w:rFonts w:ascii="Arial" w:hAnsi="Arial"/>
          <w:b/>
        </w:rPr>
      </w:pPr>
      <w:r>
        <w:rPr>
          <w:rFonts w:ascii="Arial" w:hAnsi="Arial"/>
          <w:b/>
        </w:rPr>
        <w:br w:type="page"/>
      </w:r>
    </w:p>
    <w:p w14:paraId="65942F53" w14:textId="77777777" w:rsidR="009C57D5" w:rsidRDefault="009C57D5" w:rsidP="002963AA">
      <w:pPr>
        <w:shd w:val="clear" w:color="auto" w:fill="FFFFFF"/>
        <w:rPr>
          <w:rFonts w:ascii="Arial" w:hAnsi="Arial"/>
          <w:b/>
        </w:rPr>
      </w:pPr>
    </w:p>
    <w:sdt>
      <w:sdtPr>
        <w:rPr>
          <w:rFonts w:asciiTheme="minorHAnsi" w:eastAsia="Times New Roman" w:hAnsiTheme="minorHAnsi" w:cs="Times New Roman"/>
          <w:color w:val="auto"/>
          <w:sz w:val="22"/>
          <w:szCs w:val="22"/>
          <w:lang w:val="en-GB"/>
        </w:rPr>
        <w:id w:val="-1334439294"/>
        <w:docPartObj>
          <w:docPartGallery w:val="Table of Contents"/>
          <w:docPartUnique/>
        </w:docPartObj>
      </w:sdtPr>
      <w:sdtEndPr>
        <w:rPr>
          <w:b/>
          <w:bCs/>
        </w:rPr>
      </w:sdtEndPr>
      <w:sdtContent>
        <w:p w14:paraId="37C8AD13" w14:textId="4918D1F7" w:rsidR="00490974" w:rsidRPr="00871C54" w:rsidRDefault="00490974" w:rsidP="0098411D">
          <w:pPr>
            <w:pStyle w:val="TOCHeading"/>
            <w:rPr>
              <w:b/>
              <w:bCs/>
              <w:color w:val="40A927"/>
            </w:rPr>
          </w:pPr>
          <w:r w:rsidRPr="00871C54">
            <w:rPr>
              <w:b/>
              <w:bCs/>
              <w:color w:val="40A927"/>
            </w:rPr>
            <w:t>Contents</w:t>
          </w:r>
        </w:p>
        <w:p w14:paraId="3F455FB2" w14:textId="351F6357" w:rsidR="001967F4" w:rsidRDefault="00490974" w:rsidP="001967F4">
          <w:pPr>
            <w:pStyle w:val="TOC1"/>
            <w:rPr>
              <w:rFonts w:eastAsiaTheme="minorEastAsia" w:cstheme="minorBidi"/>
              <w:noProof/>
              <w:kern w:val="2"/>
              <w:szCs w:val="22"/>
              <w:lang w:eastAsia="en-GB"/>
              <w14:ligatures w14:val="standardContextual"/>
            </w:rPr>
          </w:pPr>
          <w:r>
            <w:fldChar w:fldCharType="begin"/>
          </w:r>
          <w:r>
            <w:instrText xml:space="preserve"> TOC \o "1-3" \h \z \u </w:instrText>
          </w:r>
          <w:r>
            <w:fldChar w:fldCharType="separate"/>
          </w:r>
          <w:hyperlink w:anchor="_Toc168642796" w:history="1">
            <w:r w:rsidR="001967F4" w:rsidRPr="00B40B4B">
              <w:rPr>
                <w:rStyle w:val="Hyperlink"/>
                <w:rFonts w:cstheme="minorHAnsi"/>
                <w:noProof/>
              </w:rPr>
              <w:t>1.0</w:t>
            </w:r>
            <w:r w:rsidR="001967F4">
              <w:rPr>
                <w:rFonts w:eastAsiaTheme="minorEastAsia" w:cstheme="minorBidi"/>
                <w:noProof/>
                <w:kern w:val="2"/>
                <w:szCs w:val="22"/>
                <w:lang w:eastAsia="en-GB"/>
                <w14:ligatures w14:val="standardContextual"/>
              </w:rPr>
              <w:tab/>
            </w:r>
            <w:r w:rsidR="001967F4" w:rsidRPr="00B40B4B">
              <w:rPr>
                <w:rStyle w:val="Hyperlink"/>
                <w:noProof/>
              </w:rPr>
              <w:t>Introduction</w:t>
            </w:r>
            <w:r w:rsidR="001967F4">
              <w:rPr>
                <w:noProof/>
                <w:webHidden/>
              </w:rPr>
              <w:tab/>
            </w:r>
            <w:r w:rsidR="001967F4">
              <w:rPr>
                <w:noProof/>
                <w:webHidden/>
              </w:rPr>
              <w:fldChar w:fldCharType="begin"/>
            </w:r>
            <w:r w:rsidR="001967F4">
              <w:rPr>
                <w:noProof/>
                <w:webHidden/>
              </w:rPr>
              <w:instrText xml:space="preserve"> PAGEREF _Toc168642796 \h </w:instrText>
            </w:r>
            <w:r w:rsidR="001967F4">
              <w:rPr>
                <w:noProof/>
                <w:webHidden/>
              </w:rPr>
            </w:r>
            <w:r w:rsidR="001967F4">
              <w:rPr>
                <w:noProof/>
                <w:webHidden/>
              </w:rPr>
              <w:fldChar w:fldCharType="separate"/>
            </w:r>
            <w:r w:rsidR="001967F4">
              <w:rPr>
                <w:noProof/>
                <w:webHidden/>
              </w:rPr>
              <w:t>3</w:t>
            </w:r>
            <w:r w:rsidR="001967F4">
              <w:rPr>
                <w:noProof/>
                <w:webHidden/>
              </w:rPr>
              <w:fldChar w:fldCharType="end"/>
            </w:r>
          </w:hyperlink>
        </w:p>
        <w:p w14:paraId="63750229" w14:textId="0A719366" w:rsidR="001967F4" w:rsidRDefault="00DF1B47" w:rsidP="001967F4">
          <w:pPr>
            <w:pStyle w:val="TOC1"/>
            <w:rPr>
              <w:rFonts w:eastAsiaTheme="minorEastAsia" w:cstheme="minorBidi"/>
              <w:noProof/>
              <w:kern w:val="2"/>
              <w:szCs w:val="22"/>
              <w:lang w:eastAsia="en-GB"/>
              <w14:ligatures w14:val="standardContextual"/>
            </w:rPr>
          </w:pPr>
          <w:hyperlink w:anchor="_Toc168642797" w:history="1">
            <w:r w:rsidR="001967F4" w:rsidRPr="00B40B4B">
              <w:rPr>
                <w:rStyle w:val="Hyperlink"/>
                <w:rFonts w:cstheme="minorHAnsi"/>
                <w:noProof/>
              </w:rPr>
              <w:t>2.0</w:t>
            </w:r>
            <w:r w:rsidR="001967F4">
              <w:rPr>
                <w:rFonts w:eastAsiaTheme="minorEastAsia" w:cstheme="minorBidi"/>
                <w:noProof/>
                <w:kern w:val="2"/>
                <w:szCs w:val="22"/>
                <w:lang w:eastAsia="en-GB"/>
                <w14:ligatures w14:val="standardContextual"/>
              </w:rPr>
              <w:tab/>
            </w:r>
            <w:r w:rsidR="001967F4" w:rsidRPr="00B40B4B">
              <w:rPr>
                <w:rStyle w:val="Hyperlink"/>
                <w:noProof/>
              </w:rPr>
              <w:t>Objectives of the fund</w:t>
            </w:r>
            <w:r w:rsidR="001967F4">
              <w:rPr>
                <w:noProof/>
                <w:webHidden/>
              </w:rPr>
              <w:tab/>
            </w:r>
            <w:r w:rsidR="001967F4">
              <w:rPr>
                <w:noProof/>
                <w:webHidden/>
              </w:rPr>
              <w:fldChar w:fldCharType="begin"/>
            </w:r>
            <w:r w:rsidR="001967F4">
              <w:rPr>
                <w:noProof/>
                <w:webHidden/>
              </w:rPr>
              <w:instrText xml:space="preserve"> PAGEREF _Toc168642797 \h </w:instrText>
            </w:r>
            <w:r w:rsidR="001967F4">
              <w:rPr>
                <w:noProof/>
                <w:webHidden/>
              </w:rPr>
            </w:r>
            <w:r w:rsidR="001967F4">
              <w:rPr>
                <w:noProof/>
                <w:webHidden/>
              </w:rPr>
              <w:fldChar w:fldCharType="separate"/>
            </w:r>
            <w:r w:rsidR="001967F4">
              <w:rPr>
                <w:noProof/>
                <w:webHidden/>
              </w:rPr>
              <w:t>3</w:t>
            </w:r>
            <w:r w:rsidR="001967F4">
              <w:rPr>
                <w:noProof/>
                <w:webHidden/>
              </w:rPr>
              <w:fldChar w:fldCharType="end"/>
            </w:r>
          </w:hyperlink>
        </w:p>
        <w:p w14:paraId="1AE0B836" w14:textId="56E858BF" w:rsidR="001967F4" w:rsidRDefault="00DF1B47" w:rsidP="001967F4">
          <w:pPr>
            <w:pStyle w:val="TOC1"/>
            <w:rPr>
              <w:rFonts w:eastAsiaTheme="minorEastAsia" w:cstheme="minorBidi"/>
              <w:noProof/>
              <w:kern w:val="2"/>
              <w:szCs w:val="22"/>
              <w:lang w:eastAsia="en-GB"/>
              <w14:ligatures w14:val="standardContextual"/>
            </w:rPr>
          </w:pPr>
          <w:hyperlink w:anchor="_Toc168642798" w:history="1">
            <w:r w:rsidR="001967F4" w:rsidRPr="00B40B4B">
              <w:rPr>
                <w:rStyle w:val="Hyperlink"/>
                <w:rFonts w:cstheme="minorHAnsi"/>
                <w:noProof/>
              </w:rPr>
              <w:t>3.0</w:t>
            </w:r>
            <w:r w:rsidR="001967F4">
              <w:rPr>
                <w:rFonts w:eastAsiaTheme="minorEastAsia" w:cstheme="minorBidi"/>
                <w:noProof/>
                <w:kern w:val="2"/>
                <w:szCs w:val="22"/>
                <w:lang w:eastAsia="en-GB"/>
                <w14:ligatures w14:val="standardContextual"/>
              </w:rPr>
              <w:tab/>
            </w:r>
            <w:r w:rsidR="001967F4" w:rsidRPr="00B40B4B">
              <w:rPr>
                <w:rStyle w:val="Hyperlink"/>
                <w:noProof/>
              </w:rPr>
              <w:t>Investment of money in a wide variety of investments</w:t>
            </w:r>
            <w:r w:rsidR="001967F4">
              <w:rPr>
                <w:noProof/>
                <w:webHidden/>
              </w:rPr>
              <w:tab/>
            </w:r>
            <w:r w:rsidR="001967F4">
              <w:rPr>
                <w:noProof/>
                <w:webHidden/>
              </w:rPr>
              <w:fldChar w:fldCharType="begin"/>
            </w:r>
            <w:r w:rsidR="001967F4">
              <w:rPr>
                <w:noProof/>
                <w:webHidden/>
              </w:rPr>
              <w:instrText xml:space="preserve"> PAGEREF _Toc168642798 \h </w:instrText>
            </w:r>
            <w:r w:rsidR="001967F4">
              <w:rPr>
                <w:noProof/>
                <w:webHidden/>
              </w:rPr>
            </w:r>
            <w:r w:rsidR="001967F4">
              <w:rPr>
                <w:noProof/>
                <w:webHidden/>
              </w:rPr>
              <w:fldChar w:fldCharType="separate"/>
            </w:r>
            <w:r w:rsidR="001967F4">
              <w:rPr>
                <w:noProof/>
                <w:webHidden/>
              </w:rPr>
              <w:t>3</w:t>
            </w:r>
            <w:r w:rsidR="001967F4">
              <w:rPr>
                <w:noProof/>
                <w:webHidden/>
              </w:rPr>
              <w:fldChar w:fldCharType="end"/>
            </w:r>
          </w:hyperlink>
        </w:p>
        <w:p w14:paraId="3A07B6E0" w14:textId="11EB686E" w:rsidR="001967F4" w:rsidRDefault="00DF1B47" w:rsidP="001967F4">
          <w:pPr>
            <w:pStyle w:val="TOC1"/>
            <w:rPr>
              <w:rFonts w:eastAsiaTheme="minorEastAsia" w:cstheme="minorBidi"/>
              <w:noProof/>
              <w:kern w:val="2"/>
              <w:szCs w:val="22"/>
              <w:lang w:eastAsia="en-GB"/>
              <w14:ligatures w14:val="standardContextual"/>
            </w:rPr>
          </w:pPr>
          <w:hyperlink w:anchor="_Toc168642799" w:history="1">
            <w:r w:rsidR="001967F4" w:rsidRPr="00B40B4B">
              <w:rPr>
                <w:rStyle w:val="Hyperlink"/>
                <w:rFonts w:cstheme="minorHAnsi"/>
                <w:noProof/>
              </w:rPr>
              <w:t>4.0</w:t>
            </w:r>
            <w:r w:rsidR="001967F4">
              <w:rPr>
                <w:rFonts w:eastAsiaTheme="minorEastAsia" w:cstheme="minorBidi"/>
                <w:noProof/>
                <w:kern w:val="2"/>
                <w:szCs w:val="22"/>
                <w:lang w:eastAsia="en-GB"/>
                <w14:ligatures w14:val="standardContextual"/>
              </w:rPr>
              <w:tab/>
            </w:r>
            <w:r w:rsidR="001967F4" w:rsidRPr="00B40B4B">
              <w:rPr>
                <w:rStyle w:val="Hyperlink"/>
                <w:noProof/>
              </w:rPr>
              <w:t>The suitability of particular investments and types of investments</w:t>
            </w:r>
            <w:r w:rsidR="001967F4">
              <w:rPr>
                <w:noProof/>
                <w:webHidden/>
              </w:rPr>
              <w:tab/>
            </w:r>
            <w:r w:rsidR="001967F4">
              <w:rPr>
                <w:noProof/>
                <w:webHidden/>
              </w:rPr>
              <w:fldChar w:fldCharType="begin"/>
            </w:r>
            <w:r w:rsidR="001967F4">
              <w:rPr>
                <w:noProof/>
                <w:webHidden/>
              </w:rPr>
              <w:instrText xml:space="preserve"> PAGEREF _Toc168642799 \h </w:instrText>
            </w:r>
            <w:r w:rsidR="001967F4">
              <w:rPr>
                <w:noProof/>
                <w:webHidden/>
              </w:rPr>
            </w:r>
            <w:r w:rsidR="001967F4">
              <w:rPr>
                <w:noProof/>
                <w:webHidden/>
              </w:rPr>
              <w:fldChar w:fldCharType="separate"/>
            </w:r>
            <w:r w:rsidR="001967F4">
              <w:rPr>
                <w:noProof/>
                <w:webHidden/>
              </w:rPr>
              <w:t>6</w:t>
            </w:r>
            <w:r w:rsidR="001967F4">
              <w:rPr>
                <w:noProof/>
                <w:webHidden/>
              </w:rPr>
              <w:fldChar w:fldCharType="end"/>
            </w:r>
          </w:hyperlink>
        </w:p>
        <w:p w14:paraId="54FF7F3F" w14:textId="4136FF60" w:rsidR="001967F4" w:rsidRDefault="00DF1B47" w:rsidP="001967F4">
          <w:pPr>
            <w:pStyle w:val="TOC1"/>
            <w:rPr>
              <w:rFonts w:eastAsiaTheme="minorEastAsia" w:cstheme="minorBidi"/>
              <w:noProof/>
              <w:kern w:val="2"/>
              <w:szCs w:val="22"/>
              <w:lang w:eastAsia="en-GB"/>
              <w14:ligatures w14:val="standardContextual"/>
            </w:rPr>
          </w:pPr>
          <w:hyperlink w:anchor="_Toc168642800" w:history="1">
            <w:r w:rsidR="001967F4" w:rsidRPr="00B40B4B">
              <w:rPr>
                <w:rStyle w:val="Hyperlink"/>
                <w:rFonts w:cstheme="minorHAnsi"/>
                <w:noProof/>
              </w:rPr>
              <w:t>5.0</w:t>
            </w:r>
            <w:r w:rsidR="001967F4">
              <w:rPr>
                <w:rFonts w:eastAsiaTheme="minorEastAsia" w:cstheme="minorBidi"/>
                <w:noProof/>
                <w:kern w:val="2"/>
                <w:szCs w:val="22"/>
                <w:lang w:eastAsia="en-GB"/>
                <w14:ligatures w14:val="standardContextual"/>
              </w:rPr>
              <w:tab/>
            </w:r>
            <w:r w:rsidR="001967F4" w:rsidRPr="00B40B4B">
              <w:rPr>
                <w:rStyle w:val="Hyperlink"/>
                <w:noProof/>
              </w:rPr>
              <w:t>The approach to risk, including the ways in which risks are to be measured and managed</w:t>
            </w:r>
            <w:r w:rsidR="001967F4">
              <w:rPr>
                <w:noProof/>
                <w:webHidden/>
              </w:rPr>
              <w:tab/>
            </w:r>
            <w:r w:rsidR="001967F4">
              <w:rPr>
                <w:noProof/>
                <w:webHidden/>
              </w:rPr>
              <w:fldChar w:fldCharType="begin"/>
            </w:r>
            <w:r w:rsidR="001967F4">
              <w:rPr>
                <w:noProof/>
                <w:webHidden/>
              </w:rPr>
              <w:instrText xml:space="preserve"> PAGEREF _Toc168642800 \h </w:instrText>
            </w:r>
            <w:r w:rsidR="001967F4">
              <w:rPr>
                <w:noProof/>
                <w:webHidden/>
              </w:rPr>
            </w:r>
            <w:r w:rsidR="001967F4">
              <w:rPr>
                <w:noProof/>
                <w:webHidden/>
              </w:rPr>
              <w:fldChar w:fldCharType="separate"/>
            </w:r>
            <w:r w:rsidR="001967F4">
              <w:rPr>
                <w:noProof/>
                <w:webHidden/>
              </w:rPr>
              <w:t>8</w:t>
            </w:r>
            <w:r w:rsidR="001967F4">
              <w:rPr>
                <w:noProof/>
                <w:webHidden/>
              </w:rPr>
              <w:fldChar w:fldCharType="end"/>
            </w:r>
          </w:hyperlink>
        </w:p>
        <w:p w14:paraId="68C185DA" w14:textId="0CD3D343" w:rsidR="001967F4" w:rsidRDefault="00DF1B47" w:rsidP="001967F4">
          <w:pPr>
            <w:pStyle w:val="TOC1"/>
            <w:rPr>
              <w:rFonts w:eastAsiaTheme="minorEastAsia" w:cstheme="minorBidi"/>
              <w:noProof/>
              <w:kern w:val="2"/>
              <w:szCs w:val="22"/>
              <w:lang w:eastAsia="en-GB"/>
              <w14:ligatures w14:val="standardContextual"/>
            </w:rPr>
          </w:pPr>
          <w:hyperlink w:anchor="_Toc168642801" w:history="1">
            <w:r w:rsidR="001967F4" w:rsidRPr="00B40B4B">
              <w:rPr>
                <w:rStyle w:val="Hyperlink"/>
                <w:rFonts w:cstheme="minorHAnsi"/>
                <w:noProof/>
              </w:rPr>
              <w:t>6.0</w:t>
            </w:r>
            <w:r w:rsidR="001967F4">
              <w:rPr>
                <w:rFonts w:eastAsiaTheme="minorEastAsia" w:cstheme="minorBidi"/>
                <w:noProof/>
                <w:kern w:val="2"/>
                <w:szCs w:val="22"/>
                <w:lang w:eastAsia="en-GB"/>
                <w14:ligatures w14:val="standardContextual"/>
              </w:rPr>
              <w:tab/>
            </w:r>
            <w:r w:rsidR="001967F4" w:rsidRPr="00B40B4B">
              <w:rPr>
                <w:rStyle w:val="Hyperlink"/>
                <w:noProof/>
              </w:rPr>
              <w:t>The approach to pooling investments, including the use of collective investment vehicles and shared services</w:t>
            </w:r>
            <w:r w:rsidR="001967F4">
              <w:rPr>
                <w:noProof/>
                <w:webHidden/>
              </w:rPr>
              <w:tab/>
            </w:r>
            <w:r w:rsidR="001967F4">
              <w:rPr>
                <w:noProof/>
                <w:webHidden/>
              </w:rPr>
              <w:fldChar w:fldCharType="begin"/>
            </w:r>
            <w:r w:rsidR="001967F4">
              <w:rPr>
                <w:noProof/>
                <w:webHidden/>
              </w:rPr>
              <w:instrText xml:space="preserve"> PAGEREF _Toc168642801 \h </w:instrText>
            </w:r>
            <w:r w:rsidR="001967F4">
              <w:rPr>
                <w:noProof/>
                <w:webHidden/>
              </w:rPr>
            </w:r>
            <w:r w:rsidR="001967F4">
              <w:rPr>
                <w:noProof/>
                <w:webHidden/>
              </w:rPr>
              <w:fldChar w:fldCharType="separate"/>
            </w:r>
            <w:r w:rsidR="001967F4">
              <w:rPr>
                <w:noProof/>
                <w:webHidden/>
              </w:rPr>
              <w:t>9</w:t>
            </w:r>
            <w:r w:rsidR="001967F4">
              <w:rPr>
                <w:noProof/>
                <w:webHidden/>
              </w:rPr>
              <w:fldChar w:fldCharType="end"/>
            </w:r>
          </w:hyperlink>
        </w:p>
        <w:p w14:paraId="6338E099" w14:textId="34C27588" w:rsidR="001967F4" w:rsidRDefault="00DF1B47" w:rsidP="001967F4">
          <w:pPr>
            <w:pStyle w:val="TOC1"/>
            <w:rPr>
              <w:rFonts w:eastAsiaTheme="minorEastAsia" w:cstheme="minorBidi"/>
              <w:noProof/>
              <w:kern w:val="2"/>
              <w:szCs w:val="22"/>
              <w:lang w:eastAsia="en-GB"/>
              <w14:ligatures w14:val="standardContextual"/>
            </w:rPr>
          </w:pPr>
          <w:hyperlink w:anchor="_Toc168642802" w:history="1">
            <w:r w:rsidR="001967F4" w:rsidRPr="00B40B4B">
              <w:rPr>
                <w:rStyle w:val="Hyperlink"/>
                <w:rFonts w:cstheme="minorHAnsi"/>
                <w:noProof/>
              </w:rPr>
              <w:t>7.0</w:t>
            </w:r>
            <w:r w:rsidR="001967F4">
              <w:rPr>
                <w:rFonts w:eastAsiaTheme="minorEastAsia" w:cstheme="minorBidi"/>
                <w:noProof/>
                <w:kern w:val="2"/>
                <w:szCs w:val="22"/>
                <w:lang w:eastAsia="en-GB"/>
                <w14:ligatures w14:val="standardContextual"/>
              </w:rPr>
              <w:tab/>
            </w:r>
            <w:r w:rsidR="001967F4" w:rsidRPr="00B40B4B">
              <w:rPr>
                <w:rStyle w:val="Hyperlink"/>
                <w:noProof/>
              </w:rPr>
              <w:t>How social, environmental or corporate governance considerations are taken into account in the selection, non-selection, retention and realisation of investments</w:t>
            </w:r>
            <w:r w:rsidR="001967F4">
              <w:rPr>
                <w:noProof/>
                <w:webHidden/>
              </w:rPr>
              <w:tab/>
            </w:r>
            <w:r w:rsidR="001967F4">
              <w:rPr>
                <w:noProof/>
                <w:webHidden/>
              </w:rPr>
              <w:fldChar w:fldCharType="begin"/>
            </w:r>
            <w:r w:rsidR="001967F4">
              <w:rPr>
                <w:noProof/>
                <w:webHidden/>
              </w:rPr>
              <w:instrText xml:space="preserve"> PAGEREF _Toc168642802 \h </w:instrText>
            </w:r>
            <w:r w:rsidR="001967F4">
              <w:rPr>
                <w:noProof/>
                <w:webHidden/>
              </w:rPr>
            </w:r>
            <w:r w:rsidR="001967F4">
              <w:rPr>
                <w:noProof/>
                <w:webHidden/>
              </w:rPr>
              <w:fldChar w:fldCharType="separate"/>
            </w:r>
            <w:r w:rsidR="001967F4">
              <w:rPr>
                <w:noProof/>
                <w:webHidden/>
              </w:rPr>
              <w:t>10</w:t>
            </w:r>
            <w:r w:rsidR="001967F4">
              <w:rPr>
                <w:noProof/>
                <w:webHidden/>
              </w:rPr>
              <w:fldChar w:fldCharType="end"/>
            </w:r>
          </w:hyperlink>
        </w:p>
        <w:p w14:paraId="180D36B6" w14:textId="28C67EEE" w:rsidR="001967F4" w:rsidRDefault="00DF1B47" w:rsidP="001967F4">
          <w:pPr>
            <w:pStyle w:val="TOC1"/>
            <w:rPr>
              <w:rFonts w:eastAsiaTheme="minorEastAsia" w:cstheme="minorBidi"/>
              <w:noProof/>
              <w:kern w:val="2"/>
              <w:szCs w:val="22"/>
              <w:lang w:eastAsia="en-GB"/>
              <w14:ligatures w14:val="standardContextual"/>
            </w:rPr>
          </w:pPr>
          <w:hyperlink w:anchor="_Toc168642803" w:history="1">
            <w:r w:rsidR="001967F4" w:rsidRPr="00B40B4B">
              <w:rPr>
                <w:rStyle w:val="Hyperlink"/>
                <w:rFonts w:cstheme="minorHAnsi"/>
                <w:noProof/>
              </w:rPr>
              <w:t>8.0</w:t>
            </w:r>
            <w:r w:rsidR="001967F4">
              <w:rPr>
                <w:rFonts w:eastAsiaTheme="minorEastAsia" w:cstheme="minorBidi"/>
                <w:noProof/>
                <w:kern w:val="2"/>
                <w:szCs w:val="22"/>
                <w:lang w:eastAsia="en-GB"/>
                <w14:ligatures w14:val="standardContextual"/>
              </w:rPr>
              <w:tab/>
            </w:r>
            <w:r w:rsidR="001967F4" w:rsidRPr="00B40B4B">
              <w:rPr>
                <w:rStyle w:val="Hyperlink"/>
                <w:noProof/>
              </w:rPr>
              <w:t>The exercise of rights (including voting rights) attaching to investments</w:t>
            </w:r>
            <w:r w:rsidR="001967F4">
              <w:rPr>
                <w:noProof/>
                <w:webHidden/>
              </w:rPr>
              <w:tab/>
            </w:r>
            <w:r w:rsidR="001967F4">
              <w:rPr>
                <w:noProof/>
                <w:webHidden/>
              </w:rPr>
              <w:fldChar w:fldCharType="begin"/>
            </w:r>
            <w:r w:rsidR="001967F4">
              <w:rPr>
                <w:noProof/>
                <w:webHidden/>
              </w:rPr>
              <w:instrText xml:space="preserve"> PAGEREF _Toc168642803 \h </w:instrText>
            </w:r>
            <w:r w:rsidR="001967F4">
              <w:rPr>
                <w:noProof/>
                <w:webHidden/>
              </w:rPr>
            </w:r>
            <w:r w:rsidR="001967F4">
              <w:rPr>
                <w:noProof/>
                <w:webHidden/>
              </w:rPr>
              <w:fldChar w:fldCharType="separate"/>
            </w:r>
            <w:r w:rsidR="001967F4">
              <w:rPr>
                <w:noProof/>
                <w:webHidden/>
              </w:rPr>
              <w:t>11</w:t>
            </w:r>
            <w:r w:rsidR="001967F4">
              <w:rPr>
                <w:noProof/>
                <w:webHidden/>
              </w:rPr>
              <w:fldChar w:fldCharType="end"/>
            </w:r>
          </w:hyperlink>
        </w:p>
        <w:p w14:paraId="28A485F9" w14:textId="7AAED1A8" w:rsidR="00490974" w:rsidRDefault="00490974">
          <w:r>
            <w:rPr>
              <w:b/>
              <w:bCs/>
            </w:rPr>
            <w:fldChar w:fldCharType="end"/>
          </w:r>
        </w:p>
      </w:sdtContent>
    </w:sdt>
    <w:p w14:paraId="15EC1595" w14:textId="77777777" w:rsidR="009C57D5" w:rsidRDefault="009C57D5" w:rsidP="002963AA">
      <w:pPr>
        <w:shd w:val="clear" w:color="auto" w:fill="FFFFFF"/>
        <w:rPr>
          <w:rFonts w:ascii="Arial" w:hAnsi="Arial"/>
          <w:b/>
        </w:rPr>
      </w:pPr>
    </w:p>
    <w:p w14:paraId="1D04AA41" w14:textId="77777777" w:rsidR="007565B6" w:rsidRDefault="007565B6" w:rsidP="002963AA">
      <w:pPr>
        <w:shd w:val="clear" w:color="auto" w:fill="FFFFFF"/>
        <w:rPr>
          <w:rFonts w:ascii="Arial" w:hAnsi="Arial"/>
          <w:b/>
        </w:rPr>
      </w:pPr>
    </w:p>
    <w:p w14:paraId="57045122" w14:textId="77777777" w:rsidR="008B65C7" w:rsidRDefault="008B65C7">
      <w:pPr>
        <w:jc w:val="left"/>
        <w:rPr>
          <w:rFonts w:asciiTheme="majorHAnsi" w:hAnsiTheme="majorHAnsi" w:cs="Arial"/>
          <w:b/>
          <w:bCs/>
          <w:color w:val="40A927"/>
          <w:kern w:val="32"/>
          <w:sz w:val="24"/>
          <w:szCs w:val="32"/>
        </w:rPr>
      </w:pPr>
      <w:r>
        <w:br w:type="page"/>
      </w:r>
    </w:p>
    <w:p w14:paraId="5BA9772B" w14:textId="6BDFCE9E" w:rsidR="002963AA" w:rsidRDefault="00C651F0" w:rsidP="0098411D">
      <w:pPr>
        <w:pStyle w:val="Heading1"/>
      </w:pPr>
      <w:bookmarkStart w:id="0" w:name="_Toc168642796"/>
      <w:r>
        <w:lastRenderedPageBreak/>
        <w:t xml:space="preserve">1.0 </w:t>
      </w:r>
      <w:r>
        <w:tab/>
      </w:r>
      <w:r w:rsidR="00556F66" w:rsidRPr="00871C54">
        <w:t>Introduction</w:t>
      </w:r>
      <w:bookmarkEnd w:id="0"/>
    </w:p>
    <w:p w14:paraId="0F4D8317" w14:textId="77777777" w:rsidR="002963AA" w:rsidRDefault="002963AA" w:rsidP="002D7111">
      <w:pPr>
        <w:ind w:left="567" w:hanging="709"/>
        <w:rPr>
          <w:rFonts w:ascii="Arial" w:hAnsi="Arial"/>
          <w:b/>
        </w:rPr>
      </w:pPr>
    </w:p>
    <w:p w14:paraId="2BAAD45C" w14:textId="066C51C7" w:rsidR="00BB3C17" w:rsidRDefault="003C0A63" w:rsidP="006F0918">
      <w:pPr>
        <w:pStyle w:val="ListParagraph"/>
        <w:numPr>
          <w:ilvl w:val="1"/>
          <w:numId w:val="37"/>
        </w:numPr>
        <w:ind w:left="141" w:hanging="567"/>
      </w:pPr>
      <w:r>
        <w:t>Regulation 7 of t</w:t>
      </w:r>
      <w:r w:rsidR="002963AA">
        <w:t xml:space="preserve">he </w:t>
      </w:r>
      <w:r w:rsidR="002963AA" w:rsidRPr="00AE331D">
        <w:t xml:space="preserve">Local </w:t>
      </w:r>
      <w:r w:rsidR="002963AA">
        <w:t xml:space="preserve">Government Pension Scheme (Management and Investment of Funds) Regulations </w:t>
      </w:r>
      <w:r w:rsidR="0070599E">
        <w:t>20</w:t>
      </w:r>
      <w:r>
        <w:t>16</w:t>
      </w:r>
      <w:r w:rsidR="002963AA">
        <w:t xml:space="preserve"> </w:t>
      </w:r>
      <w:r>
        <w:t xml:space="preserve">(the Regulations) </w:t>
      </w:r>
      <w:r w:rsidR="002963AA">
        <w:t>require</w:t>
      </w:r>
      <w:r w:rsidR="00242999">
        <w:t>s</w:t>
      </w:r>
      <w:r w:rsidR="002963AA">
        <w:t xml:space="preserve"> administering authorities to </w:t>
      </w:r>
      <w:r>
        <w:t>formulate</w:t>
      </w:r>
      <w:r w:rsidR="002963AA">
        <w:t xml:space="preserve">, </w:t>
      </w:r>
      <w:r w:rsidR="008A4C95">
        <w:t>publish and maintain</w:t>
      </w:r>
      <w:r w:rsidR="003F38A5">
        <w:t xml:space="preserve"> a</w:t>
      </w:r>
      <w:r>
        <w:t>n</w:t>
      </w:r>
      <w:r w:rsidR="003F38A5">
        <w:t xml:space="preserve"> </w:t>
      </w:r>
      <w:r>
        <w:t>Investment Strategy Statement (ISS</w:t>
      </w:r>
      <w:r w:rsidR="003F38A5">
        <w:t xml:space="preserve">).  This document is the </w:t>
      </w:r>
      <w:r>
        <w:t>ISS</w:t>
      </w:r>
      <w:r w:rsidR="003F38A5">
        <w:t xml:space="preserve"> of the North Yorkshire Pension Fund (NYPF</w:t>
      </w:r>
      <w:r w:rsidR="00BB3C17">
        <w:t xml:space="preserve">, or </w:t>
      </w:r>
      <w:r w:rsidR="00AC2222">
        <w:t>t</w:t>
      </w:r>
      <w:r w:rsidR="00BB3C17">
        <w:t>he Fund</w:t>
      </w:r>
      <w:r w:rsidR="003F38A5">
        <w:t>) for which North Yorkshire Council (</w:t>
      </w:r>
      <w:r w:rsidR="00BB3C17">
        <w:t>the Council</w:t>
      </w:r>
      <w:r w:rsidR="003F38A5">
        <w:t xml:space="preserve">) is the </w:t>
      </w:r>
      <w:r w:rsidR="00515C9B">
        <w:t>a</w:t>
      </w:r>
      <w:r w:rsidR="003F38A5">
        <w:t xml:space="preserve">dministering </w:t>
      </w:r>
      <w:r w:rsidR="00515C9B">
        <w:t>a</w:t>
      </w:r>
      <w:r w:rsidR="003F38A5">
        <w:t>uthority.</w:t>
      </w:r>
    </w:p>
    <w:p w14:paraId="53A1A071" w14:textId="77777777" w:rsidR="00E220BE" w:rsidRDefault="00E220BE" w:rsidP="00AE331D">
      <w:pPr>
        <w:pStyle w:val="ListParagraph"/>
        <w:ind w:left="0" w:hanging="567"/>
      </w:pPr>
    </w:p>
    <w:p w14:paraId="7A94F2C7" w14:textId="0489E19D" w:rsidR="0005087C" w:rsidRDefault="00E220BE" w:rsidP="006F0918">
      <w:pPr>
        <w:pStyle w:val="ListParagraph"/>
        <w:numPr>
          <w:ilvl w:val="1"/>
          <w:numId w:val="37"/>
        </w:numPr>
        <w:ind w:left="141" w:hanging="567"/>
      </w:pPr>
      <w:r w:rsidRPr="00E220BE">
        <w:t>The Council has delegated all its functions as the administering authority of NYPF to the Pension Fund Committee (PFC, or the Committee).  The Corporate Director Resources, who reports to the Chief Executive, has day to day control of the management of all aspects of the Fund’s activities.</w:t>
      </w:r>
    </w:p>
    <w:p w14:paraId="3F32B36E" w14:textId="77777777" w:rsidR="0005087C" w:rsidRDefault="0005087C" w:rsidP="00AE331D">
      <w:pPr>
        <w:pStyle w:val="ListParagraph"/>
        <w:ind w:left="0" w:hanging="567"/>
      </w:pPr>
    </w:p>
    <w:p w14:paraId="171A559C" w14:textId="77777777" w:rsidR="0005087C" w:rsidRDefault="00BB3C17" w:rsidP="006F0918">
      <w:pPr>
        <w:pStyle w:val="ListParagraph"/>
        <w:numPr>
          <w:ilvl w:val="1"/>
          <w:numId w:val="37"/>
        </w:numPr>
        <w:ind w:left="141" w:hanging="567"/>
      </w:pPr>
      <w:r>
        <w:t xml:space="preserve">The </w:t>
      </w:r>
      <w:r w:rsidR="00AC2222">
        <w:t xml:space="preserve">Committee </w:t>
      </w:r>
      <w:r>
        <w:t xml:space="preserve">determines the investment policy of the Fund and has ultimate responsibility for the investment strategy.  The </w:t>
      </w:r>
      <w:r w:rsidR="00B35E58">
        <w:t>C</w:t>
      </w:r>
      <w:r>
        <w:t xml:space="preserve">ommittee undertakes its responsibilities </w:t>
      </w:r>
      <w:r w:rsidR="00655DCD">
        <w:t>after</w:t>
      </w:r>
      <w:r>
        <w:t xml:space="preserve"> taking appropriate</w:t>
      </w:r>
      <w:r w:rsidR="00B35E58">
        <w:t xml:space="preserve"> advice from external advisers.</w:t>
      </w:r>
    </w:p>
    <w:p w14:paraId="6853028F" w14:textId="77777777" w:rsidR="0005087C" w:rsidRDefault="0005087C" w:rsidP="00AE331D">
      <w:pPr>
        <w:pStyle w:val="ListParagraph"/>
        <w:ind w:left="0" w:hanging="567"/>
      </w:pPr>
    </w:p>
    <w:p w14:paraId="53960D54" w14:textId="63CF9638" w:rsidR="0005087C" w:rsidRDefault="00AC2222" w:rsidP="006F0918">
      <w:pPr>
        <w:pStyle w:val="ListParagraph"/>
        <w:numPr>
          <w:ilvl w:val="1"/>
          <w:numId w:val="37"/>
        </w:numPr>
        <w:ind w:left="141" w:hanging="567"/>
        <w:rPr>
          <w:rFonts w:cs="Arial"/>
          <w:snapToGrid w:val="0"/>
        </w:rPr>
      </w:pPr>
      <w:r w:rsidRPr="008B65C7">
        <w:rPr>
          <w:rFonts w:cs="Arial"/>
          <w:snapToGrid w:val="0"/>
        </w:rPr>
        <w:t>The Committee seeks to invest in accordance with the ISS, any Fund money that is not needed to make payments from the Fund.  The ISS should be read in conjunction with the Fund’s Funding Strategy Statement.</w:t>
      </w:r>
    </w:p>
    <w:p w14:paraId="3E8A2024" w14:textId="77777777" w:rsidR="0005087C" w:rsidRPr="008B65C7" w:rsidRDefault="0005087C" w:rsidP="00AE331D">
      <w:pPr>
        <w:pStyle w:val="ListParagraph"/>
        <w:ind w:left="0" w:hanging="567"/>
        <w:rPr>
          <w:rFonts w:cs="Arial"/>
          <w:snapToGrid w:val="0"/>
        </w:rPr>
      </w:pPr>
    </w:p>
    <w:p w14:paraId="53FFC9A3" w14:textId="77777777" w:rsidR="002963AA" w:rsidRDefault="00B76470" w:rsidP="006F0918">
      <w:pPr>
        <w:pStyle w:val="ListParagraph"/>
        <w:numPr>
          <w:ilvl w:val="1"/>
          <w:numId w:val="37"/>
        </w:numPr>
        <w:ind w:left="141" w:hanging="567"/>
      </w:pPr>
      <w:r w:rsidRPr="0005087C">
        <w:rPr>
          <w:snapToGrid w:val="0"/>
        </w:rPr>
        <w:t xml:space="preserve">The </w:t>
      </w:r>
      <w:r w:rsidR="007772D4" w:rsidRPr="0005087C">
        <w:rPr>
          <w:snapToGrid w:val="0"/>
        </w:rPr>
        <w:t>Fund has consulted on the contents of the Investment Strategy</w:t>
      </w:r>
      <w:r w:rsidR="000118EA" w:rsidRPr="0005087C">
        <w:rPr>
          <w:snapToGrid w:val="0"/>
        </w:rPr>
        <w:t xml:space="preserve"> Statement</w:t>
      </w:r>
      <w:r w:rsidR="007772D4" w:rsidRPr="0005087C">
        <w:rPr>
          <w:snapToGrid w:val="0"/>
        </w:rPr>
        <w:t xml:space="preserve"> with such persons it considers appropriate. </w:t>
      </w:r>
      <w:r w:rsidR="00C91F3A" w:rsidRPr="0005087C">
        <w:rPr>
          <w:snapToGrid w:val="0"/>
        </w:rPr>
        <w:t xml:space="preserve"> </w:t>
      </w:r>
      <w:r w:rsidR="007772D4" w:rsidRPr="0005087C">
        <w:rPr>
          <w:snapToGrid w:val="0"/>
        </w:rPr>
        <w:t xml:space="preserve">This document is reviewed annually as part of </w:t>
      </w:r>
      <w:r w:rsidR="00CA36C2" w:rsidRPr="0005087C">
        <w:rPr>
          <w:snapToGrid w:val="0"/>
        </w:rPr>
        <w:t>the Fund’s</w:t>
      </w:r>
      <w:r w:rsidR="007772D4" w:rsidRPr="0005087C">
        <w:rPr>
          <w:snapToGrid w:val="0"/>
        </w:rPr>
        <w:t xml:space="preserve"> annual governance review.</w:t>
      </w:r>
    </w:p>
    <w:p w14:paraId="16E753C6" w14:textId="10A6E5BF" w:rsidR="00242999" w:rsidRDefault="00C651F0" w:rsidP="0098411D">
      <w:pPr>
        <w:pStyle w:val="Heading1"/>
      </w:pPr>
      <w:bookmarkStart w:id="1" w:name="_Toc168642797"/>
      <w:r>
        <w:t xml:space="preserve">2.0 </w:t>
      </w:r>
      <w:r>
        <w:tab/>
      </w:r>
      <w:r w:rsidR="00556F66" w:rsidRPr="000C27D5">
        <w:t xml:space="preserve">Objectives of the </w:t>
      </w:r>
      <w:r w:rsidR="0073257F">
        <w:t>F</w:t>
      </w:r>
      <w:r w:rsidR="00556F66" w:rsidRPr="000C27D5">
        <w:t>und</w:t>
      </w:r>
      <w:bookmarkEnd w:id="1"/>
    </w:p>
    <w:p w14:paraId="775C349A" w14:textId="77777777" w:rsidR="00E220BE" w:rsidRPr="00E220BE" w:rsidRDefault="00E220BE" w:rsidP="003D5FD8"/>
    <w:p w14:paraId="2250919E" w14:textId="14887CCA" w:rsidR="00E93611" w:rsidRDefault="00F33931" w:rsidP="00E93611">
      <w:pPr>
        <w:pStyle w:val="ListParagraph"/>
        <w:ind w:left="141" w:hanging="567"/>
      </w:pPr>
      <w:r>
        <w:t xml:space="preserve">2.1 </w:t>
      </w:r>
      <w:r>
        <w:tab/>
      </w:r>
      <w:r w:rsidR="00242999" w:rsidRPr="00AD79A1">
        <w:t xml:space="preserve">The primary objective of the Fund is to provide pension benefits for members upon retirement and/or benefits on death for their dependents, on a defined benefits basis.  Investments will therefore be selected with </w:t>
      </w:r>
      <w:r w:rsidR="00242999" w:rsidRPr="00B35957">
        <w:t>the aim of fully funding these benefit req</w:t>
      </w:r>
      <w:r w:rsidR="00242999" w:rsidRPr="008E555F">
        <w:t>uirements over an extended number of years.  The funding position will be reviewed at each Triennial Valuation with adjustments to the investment strategy, asset allocation and to investments with investment managers as required</w:t>
      </w:r>
      <w:r w:rsidR="00B61FF3">
        <w:t>.</w:t>
      </w:r>
    </w:p>
    <w:p w14:paraId="4A82BC8E" w14:textId="77777777" w:rsidR="00B61FF3" w:rsidRDefault="00B61FF3" w:rsidP="00E93611">
      <w:pPr>
        <w:pStyle w:val="ListParagraph"/>
        <w:ind w:left="141" w:hanging="567"/>
      </w:pPr>
    </w:p>
    <w:p w14:paraId="4E037133" w14:textId="7BD3FAF0" w:rsidR="00242999" w:rsidRPr="00E93611" w:rsidRDefault="00EA3278" w:rsidP="00E93611">
      <w:pPr>
        <w:pStyle w:val="ListParagraph"/>
        <w:ind w:left="141" w:hanging="567"/>
      </w:pPr>
      <w:r>
        <w:t>2.2</w:t>
      </w:r>
      <w:r>
        <w:tab/>
      </w:r>
      <w:r w:rsidR="00242999" w:rsidRPr="00AE331D">
        <w:t xml:space="preserve">The investment objective of the Fund is to provide for sufficient </w:t>
      </w:r>
      <w:r w:rsidR="003100F0" w:rsidRPr="00AE331D">
        <w:t xml:space="preserve">income and </w:t>
      </w:r>
      <w:r w:rsidR="00242999" w:rsidRPr="00AE331D">
        <w:t xml:space="preserve">capital growth of the Fund’s assets in a range of market conditions, supplemented by employee and employer contribution income, to meet the cost of benefits as they fall due.  It is translated into a suitable strategic asset allocation benchmark designed to address the nature of the Fund’s </w:t>
      </w:r>
      <w:r w:rsidR="00606286" w:rsidRPr="00AE331D">
        <w:t>liabilities and</w:t>
      </w:r>
      <w:r w:rsidR="00242999" w:rsidRPr="00AE331D">
        <w:t xml:space="preserve"> deliver </w:t>
      </w:r>
      <w:r w:rsidR="0076396A" w:rsidRPr="00AE331D">
        <w:t xml:space="preserve">a </w:t>
      </w:r>
      <w:r w:rsidR="00242999" w:rsidRPr="00AE331D">
        <w:t xml:space="preserve">return over the </w:t>
      </w:r>
      <w:r w:rsidR="0073257F" w:rsidRPr="00AE331D">
        <w:t>long-term</w:t>
      </w:r>
      <w:r w:rsidR="00242999" w:rsidRPr="00AE331D">
        <w:t xml:space="preserve"> including through periods of volatility in financial markets.</w:t>
      </w:r>
    </w:p>
    <w:p w14:paraId="16FC9FD7" w14:textId="46A06DE3" w:rsidR="001D3482" w:rsidRDefault="00706876" w:rsidP="0098411D">
      <w:pPr>
        <w:pStyle w:val="Heading1"/>
      </w:pPr>
      <w:bookmarkStart w:id="2" w:name="_Toc168642798"/>
      <w:r>
        <w:t xml:space="preserve">3.0 </w:t>
      </w:r>
      <w:r>
        <w:tab/>
      </w:r>
      <w:r w:rsidR="00107BC7" w:rsidRPr="001D3482">
        <w:t>I</w:t>
      </w:r>
      <w:r w:rsidR="00556F66" w:rsidRPr="001D3482">
        <w:t>nvestment of money in a wide variety of investments</w:t>
      </w:r>
      <w:bookmarkEnd w:id="2"/>
    </w:p>
    <w:p w14:paraId="17622F10" w14:textId="77777777" w:rsidR="00735335" w:rsidRPr="00735335" w:rsidRDefault="00735335" w:rsidP="00735335"/>
    <w:p w14:paraId="748CB5C5" w14:textId="77777777" w:rsidR="00E220BE" w:rsidRPr="00E220BE" w:rsidRDefault="00E220BE" w:rsidP="00E220BE">
      <w:pPr>
        <w:pStyle w:val="ListParagraph"/>
        <w:numPr>
          <w:ilvl w:val="0"/>
          <w:numId w:val="37"/>
        </w:numPr>
        <w:rPr>
          <w:vanish/>
        </w:rPr>
      </w:pPr>
    </w:p>
    <w:p w14:paraId="55264F62" w14:textId="4472BDC1" w:rsidR="00E7480E" w:rsidRPr="00FA783E" w:rsidRDefault="0024637D" w:rsidP="00B61FF3">
      <w:pPr>
        <w:pStyle w:val="ListParagraph"/>
        <w:ind w:left="141" w:hanging="567"/>
      </w:pPr>
      <w:r>
        <w:t xml:space="preserve">3.1 </w:t>
      </w:r>
      <w:r w:rsidR="00C25837">
        <w:tab/>
      </w:r>
      <w:r w:rsidR="00E7480E" w:rsidRPr="00B35957">
        <w:t xml:space="preserve">It is the PFC’s policy to invest the assets of the Fund to spread risk by ensuring a reasonable balance between different categories of investments.  The PFC takes a </w:t>
      </w:r>
      <w:r w:rsidR="00265F9E" w:rsidRPr="00B35957">
        <w:t>long-term</w:t>
      </w:r>
      <w:r w:rsidR="00E7480E" w:rsidRPr="00B35957">
        <w:t xml:space="preserve"> approach and invests in asset classes and individual investmen</w:t>
      </w:r>
      <w:r w:rsidR="00E7480E" w:rsidRPr="008E555F">
        <w:t>ts that are expected to generate an attractive risk-adjusted return for the Fund and meet the cost of its liabilities</w:t>
      </w:r>
      <w:r w:rsidR="00E7480E" w:rsidRPr="00FA783E">
        <w:t>.</w:t>
      </w:r>
    </w:p>
    <w:p w14:paraId="39C05684" w14:textId="77777777" w:rsidR="00E7480E" w:rsidRPr="00AE331D" w:rsidRDefault="00E7480E" w:rsidP="00C25837">
      <w:pPr>
        <w:pStyle w:val="ListParagraph"/>
        <w:ind w:left="0" w:hanging="567"/>
      </w:pPr>
    </w:p>
    <w:p w14:paraId="22C3DFB8" w14:textId="64DE61AE" w:rsidR="00E7480E" w:rsidRPr="00AE331D" w:rsidRDefault="00391334" w:rsidP="00B61FF3">
      <w:pPr>
        <w:pStyle w:val="ListParagraph"/>
        <w:ind w:left="141" w:hanging="567"/>
      </w:pPr>
      <w:r>
        <w:t xml:space="preserve">3.2 </w:t>
      </w:r>
      <w:r>
        <w:tab/>
      </w:r>
      <w:r w:rsidR="00E7480E" w:rsidRPr="00AE331D">
        <w:t xml:space="preserve">The Fund may invest in a wide range of investments including quoted and unquoted assets in Equities, Fixed Income, Property and Alternatives either directly or through pooled funds.  The Fund may also make use of derivatives, either directly or in pooled funds, for the purposes of efficient portfolio management or to hedge specific risks, </w:t>
      </w:r>
      <w:r w:rsidR="00606286" w:rsidRPr="00AE331D">
        <w:t>to</w:t>
      </w:r>
      <w:r w:rsidR="00E7480E" w:rsidRPr="00AE331D">
        <w:t xml:space="preserve"> protect the value of the Fund’s assets.</w:t>
      </w:r>
    </w:p>
    <w:p w14:paraId="4F6A608C" w14:textId="77777777" w:rsidR="00E7480E" w:rsidRPr="00AE331D" w:rsidRDefault="00E7480E" w:rsidP="00C25837">
      <w:pPr>
        <w:pStyle w:val="ListParagraph"/>
        <w:ind w:left="0" w:hanging="567"/>
      </w:pPr>
    </w:p>
    <w:p w14:paraId="3F06B85F" w14:textId="23273938" w:rsidR="003B5D73" w:rsidRPr="00AE331D" w:rsidRDefault="0024637D" w:rsidP="00B61FF3">
      <w:pPr>
        <w:pStyle w:val="ListParagraph"/>
        <w:ind w:left="141" w:hanging="567"/>
      </w:pPr>
      <w:r>
        <w:t xml:space="preserve">3.3 </w:t>
      </w:r>
      <w:r w:rsidR="00C25837">
        <w:tab/>
      </w:r>
      <w:r w:rsidR="007B3FDA" w:rsidRPr="00AE331D">
        <w:t>The Committee reviews the investments of the Fund on a regular basis</w:t>
      </w:r>
      <w:r w:rsidR="00E7480E" w:rsidRPr="00AE331D">
        <w:t xml:space="preserve">, with </w:t>
      </w:r>
      <w:r w:rsidR="00606286" w:rsidRPr="00AE331D">
        <w:t>regard</w:t>
      </w:r>
      <w:r w:rsidR="00E7480E" w:rsidRPr="00AE331D">
        <w:t xml:space="preserve"> to suitability and diversification</w:t>
      </w:r>
      <w:r w:rsidR="007B3FDA" w:rsidRPr="00AE331D">
        <w:t xml:space="preserve">.  </w:t>
      </w:r>
      <w:r w:rsidR="00E7480E" w:rsidRPr="00AE331D">
        <w:t>On each occasion, the Committee receives advice from its Investment Consultant and Independent Adviser.</w:t>
      </w:r>
    </w:p>
    <w:p w14:paraId="7FDBE25C" w14:textId="77777777" w:rsidR="003B5D73" w:rsidRPr="00AE331D" w:rsidRDefault="003B5D73" w:rsidP="00C25837">
      <w:pPr>
        <w:pStyle w:val="ListParagraph"/>
        <w:ind w:left="0" w:hanging="567"/>
      </w:pPr>
    </w:p>
    <w:p w14:paraId="3187D90F" w14:textId="17DE9C71" w:rsidR="005141D9" w:rsidRPr="00AE331D" w:rsidRDefault="0024637D" w:rsidP="00B61FF3">
      <w:pPr>
        <w:pStyle w:val="ListParagraph"/>
        <w:ind w:left="138" w:hanging="564"/>
      </w:pPr>
      <w:r>
        <w:t xml:space="preserve">3.4 </w:t>
      </w:r>
      <w:r w:rsidR="00C25837">
        <w:tab/>
      </w:r>
      <w:r w:rsidR="0093433C">
        <w:t>C</w:t>
      </w:r>
      <w:r w:rsidR="003B5D73" w:rsidRPr="008B65C7">
        <w:t xml:space="preserve">hanges to the Fund’s asset allocation </w:t>
      </w:r>
      <w:r w:rsidR="003B5D73" w:rsidRPr="00AD79A1">
        <w:t xml:space="preserve">strategy </w:t>
      </w:r>
      <w:r w:rsidR="000D04F2" w:rsidRPr="00B35957">
        <w:t>include</w:t>
      </w:r>
      <w:r w:rsidR="003B5D73" w:rsidRPr="00B35957">
        <w:t xml:space="preserve"> the addition of Alternatives, being Property (2012), Private Debt (2016)</w:t>
      </w:r>
      <w:r w:rsidR="000D04F2" w:rsidRPr="008E555F">
        <w:t xml:space="preserve"> and</w:t>
      </w:r>
      <w:r w:rsidR="003B5D73" w:rsidRPr="008E555F">
        <w:t xml:space="preserve"> Infrastructure (2019)</w:t>
      </w:r>
      <w:r w:rsidR="00C87BB0">
        <w:t>, Climate Opportunities (2022)</w:t>
      </w:r>
      <w:r w:rsidR="00F84540">
        <w:t xml:space="preserve"> </w:t>
      </w:r>
      <w:r w:rsidR="00853A8D">
        <w:t>and UK Opportunities</w:t>
      </w:r>
      <w:r w:rsidR="00E53445">
        <w:t xml:space="preserve"> (2024)</w:t>
      </w:r>
      <w:r w:rsidR="000D04F2" w:rsidRPr="00FA783E">
        <w:t xml:space="preserve">.  Multi Asset Credit </w:t>
      </w:r>
      <w:r w:rsidR="000D04F2" w:rsidRPr="00AE331D">
        <w:t>was added in 2020</w:t>
      </w:r>
      <w:r w:rsidR="003B5D73" w:rsidRPr="00AE331D">
        <w:t>.  These asset classes have served to further diversify the Fund’s investments, spreading risk and reducing short term volatility while maintaining sufficient investment returns</w:t>
      </w:r>
      <w:r w:rsidR="000D04F2" w:rsidRPr="00AE331D">
        <w:t>.</w:t>
      </w:r>
    </w:p>
    <w:p w14:paraId="439EF52F" w14:textId="77777777" w:rsidR="005141D9" w:rsidRPr="00AE331D" w:rsidRDefault="005141D9" w:rsidP="00C25837">
      <w:pPr>
        <w:pStyle w:val="ListParagraph"/>
        <w:ind w:left="-3" w:hanging="564"/>
      </w:pPr>
    </w:p>
    <w:p w14:paraId="716C8DDA" w14:textId="25E9C9F7" w:rsidR="007714F3" w:rsidRPr="00301E7E" w:rsidRDefault="0024637D" w:rsidP="0047552F">
      <w:pPr>
        <w:pStyle w:val="ListParagraph"/>
        <w:ind w:left="138" w:hanging="564"/>
      </w:pPr>
      <w:r w:rsidRPr="00301E7E">
        <w:t xml:space="preserve">3.5 </w:t>
      </w:r>
      <w:r w:rsidR="00C25837" w:rsidRPr="00301E7E">
        <w:tab/>
      </w:r>
      <w:r w:rsidR="00C8172B" w:rsidRPr="00301E7E">
        <w:t>A</w:t>
      </w:r>
      <w:r w:rsidR="007B3FDA" w:rsidRPr="00301E7E">
        <w:t xml:space="preserve"> review of the investment strategy took place </w:t>
      </w:r>
      <w:r w:rsidR="004C1450" w:rsidRPr="00301E7E">
        <w:t xml:space="preserve">in </w:t>
      </w:r>
      <w:r w:rsidR="00F12626" w:rsidRPr="00301E7E">
        <w:t>2024/25</w:t>
      </w:r>
      <w:r w:rsidR="005141D9" w:rsidRPr="00301E7E">
        <w:t>,</w:t>
      </w:r>
      <w:r w:rsidR="007F7676" w:rsidRPr="00301E7E">
        <w:t xml:space="preserve"> when a number of changes were made</w:t>
      </w:r>
      <w:r w:rsidR="00C269CF" w:rsidRPr="00301E7E">
        <w:t>.</w:t>
      </w:r>
      <w:r w:rsidR="000949F2" w:rsidRPr="00301E7E">
        <w:t xml:space="preserve"> </w:t>
      </w:r>
      <w:r w:rsidR="005141D9" w:rsidRPr="00301E7E">
        <w:t xml:space="preserve"> </w:t>
      </w:r>
      <w:r w:rsidR="00052916" w:rsidRPr="00301E7E">
        <w:t xml:space="preserve">This review was supported by </w:t>
      </w:r>
      <w:r w:rsidR="007714F3" w:rsidRPr="00301E7E">
        <w:t>investment beliefs agreed by the Committee:</w:t>
      </w:r>
    </w:p>
    <w:p w14:paraId="6C8ADCE7" w14:textId="77777777" w:rsidR="007714F3" w:rsidRPr="00301E7E" w:rsidRDefault="007714F3" w:rsidP="00C25837">
      <w:pPr>
        <w:pStyle w:val="ListParagraph"/>
        <w:ind w:left="-3" w:hanging="564"/>
      </w:pPr>
    </w:p>
    <w:p w14:paraId="574F8532" w14:textId="64EB9EC8" w:rsidR="00182D88" w:rsidRPr="00301E7E" w:rsidRDefault="000046FE" w:rsidP="00967B46">
      <w:pPr>
        <w:pStyle w:val="ListParagraph"/>
        <w:numPr>
          <w:ilvl w:val="0"/>
          <w:numId w:val="44"/>
        </w:numPr>
      </w:pPr>
      <w:r w:rsidRPr="00301E7E">
        <w:t>L</w:t>
      </w:r>
      <w:r w:rsidR="009C12D3" w:rsidRPr="00301E7E">
        <w:t>ong-term aim of maintaining a funding level of at least 100%</w:t>
      </w:r>
    </w:p>
    <w:p w14:paraId="73E265D8" w14:textId="6C43F5D8" w:rsidR="00A20CA1" w:rsidRPr="00301E7E" w:rsidRDefault="00C82DD3" w:rsidP="00967B46">
      <w:pPr>
        <w:pStyle w:val="ListParagraph"/>
        <w:numPr>
          <w:ilvl w:val="0"/>
          <w:numId w:val="44"/>
        </w:numPr>
      </w:pPr>
      <w:r w:rsidRPr="00301E7E">
        <w:t>Downside risk should be reduced</w:t>
      </w:r>
      <w:r w:rsidR="00976766" w:rsidRPr="00301E7E">
        <w:t xml:space="preserve"> </w:t>
      </w:r>
      <w:r w:rsidR="00B91014" w:rsidRPr="00301E7E">
        <w:t>if</w:t>
      </w:r>
      <w:r w:rsidR="00976766" w:rsidRPr="00301E7E">
        <w:t xml:space="preserve"> the impact on investment returns is small</w:t>
      </w:r>
    </w:p>
    <w:p w14:paraId="7953CAE3" w14:textId="5599608E" w:rsidR="00F51D53" w:rsidRPr="00301E7E" w:rsidRDefault="00ED60F2" w:rsidP="00967B46">
      <w:pPr>
        <w:pStyle w:val="ListParagraph"/>
        <w:numPr>
          <w:ilvl w:val="0"/>
          <w:numId w:val="44"/>
        </w:numPr>
      </w:pPr>
      <w:r w:rsidRPr="00301E7E">
        <w:t xml:space="preserve">The extent of downside risk reduction should be guided by the </w:t>
      </w:r>
      <w:r w:rsidR="00461655" w:rsidRPr="00301E7E">
        <w:t>proportion of surplus assets</w:t>
      </w:r>
    </w:p>
    <w:p w14:paraId="63BCF025" w14:textId="587DE470" w:rsidR="00D23613" w:rsidRPr="00301E7E" w:rsidRDefault="00B3593B" w:rsidP="00C67540">
      <w:pPr>
        <w:pStyle w:val="ListParagraph"/>
        <w:numPr>
          <w:ilvl w:val="0"/>
          <w:numId w:val="44"/>
        </w:numPr>
      </w:pPr>
      <w:r w:rsidRPr="00301E7E">
        <w:t>Diversification will aid with smoothing out</w:t>
      </w:r>
      <w:r w:rsidR="00414ACC" w:rsidRPr="00301E7E">
        <w:t xml:space="preserve"> investment returns over market cycles</w:t>
      </w:r>
    </w:p>
    <w:p w14:paraId="60C1D037" w14:textId="77777777" w:rsidR="00242D63" w:rsidRPr="00301E7E" w:rsidRDefault="008855B1" w:rsidP="00967B46">
      <w:pPr>
        <w:pStyle w:val="ListParagraph"/>
        <w:numPr>
          <w:ilvl w:val="0"/>
          <w:numId w:val="44"/>
        </w:numPr>
      </w:pPr>
      <w:r w:rsidRPr="00301E7E">
        <w:t xml:space="preserve">Investments will be made through Border to Coast, where suitable </w:t>
      </w:r>
      <w:r w:rsidR="00242D63" w:rsidRPr="00301E7E">
        <w:t>options are available</w:t>
      </w:r>
    </w:p>
    <w:p w14:paraId="60CCAFD0" w14:textId="6FEF88C9" w:rsidR="00C67540" w:rsidRPr="00301E7E" w:rsidRDefault="00C67540" w:rsidP="00967B46">
      <w:pPr>
        <w:pStyle w:val="ListParagraph"/>
        <w:numPr>
          <w:ilvl w:val="0"/>
          <w:numId w:val="44"/>
        </w:numPr>
      </w:pPr>
      <w:r w:rsidRPr="00301E7E">
        <w:t>New asset classes may be added to the strategy</w:t>
      </w:r>
      <w:r w:rsidR="00E90693" w:rsidRPr="00301E7E">
        <w:t xml:space="preserve"> where there is a clear benefit</w:t>
      </w:r>
    </w:p>
    <w:p w14:paraId="09566A26" w14:textId="1224C7D1" w:rsidR="00B14133" w:rsidRPr="00301E7E" w:rsidRDefault="005B5C37" w:rsidP="00967B46">
      <w:pPr>
        <w:pStyle w:val="ListParagraph"/>
        <w:numPr>
          <w:ilvl w:val="0"/>
          <w:numId w:val="44"/>
        </w:numPr>
      </w:pPr>
      <w:r w:rsidRPr="00301E7E">
        <w:t xml:space="preserve">Consideration of ESG issues must be </w:t>
      </w:r>
      <w:r w:rsidR="00B14133" w:rsidRPr="00301E7E">
        <w:t>integral to investment processes</w:t>
      </w:r>
    </w:p>
    <w:p w14:paraId="5DF1F635" w14:textId="0D146E99" w:rsidR="0047552F" w:rsidRDefault="0047552F" w:rsidP="0047552F">
      <w:pPr>
        <w:pStyle w:val="ListParagraph"/>
        <w:numPr>
          <w:ilvl w:val="0"/>
          <w:numId w:val="44"/>
        </w:numPr>
      </w:pPr>
    </w:p>
    <w:p w14:paraId="15B82E70" w14:textId="267F384E" w:rsidR="003B2A53" w:rsidRPr="00301E7E" w:rsidRDefault="0024637D" w:rsidP="00AA027B">
      <w:pPr>
        <w:ind w:left="142" w:hanging="568"/>
      </w:pPr>
      <w:r w:rsidRPr="00301E7E">
        <w:t>3.6</w:t>
      </w:r>
      <w:r w:rsidR="00C25837" w:rsidRPr="00301E7E">
        <w:tab/>
      </w:r>
      <w:r w:rsidR="00795D9A" w:rsidRPr="00301E7E">
        <w:t>The target allocation to e</w:t>
      </w:r>
      <w:r w:rsidR="00721E9A" w:rsidRPr="00301E7E">
        <w:t xml:space="preserve">quities was significantly </w:t>
      </w:r>
      <w:r w:rsidR="0048638A" w:rsidRPr="00301E7E">
        <w:t>lowered</w:t>
      </w:r>
      <w:r w:rsidR="00795D9A" w:rsidRPr="00301E7E">
        <w:t xml:space="preserve">, </w:t>
      </w:r>
      <w:r w:rsidR="000108DF" w:rsidRPr="00301E7E">
        <w:t>to reduce the overall level of volatility of the Fund.  UK equities was</w:t>
      </w:r>
      <w:r w:rsidR="00662343" w:rsidRPr="00301E7E">
        <w:t xml:space="preserve"> removed altogether, </w:t>
      </w:r>
      <w:r w:rsidR="00D737BF" w:rsidRPr="00301E7E">
        <w:t xml:space="preserve">and UK property was reduced, </w:t>
      </w:r>
      <w:r w:rsidR="00464237" w:rsidRPr="00301E7E">
        <w:t xml:space="preserve">continuing </w:t>
      </w:r>
      <w:r w:rsidR="00E74B50" w:rsidRPr="00301E7E">
        <w:t xml:space="preserve">the </w:t>
      </w:r>
      <w:r w:rsidR="00D877A4" w:rsidRPr="00301E7E">
        <w:t xml:space="preserve">movement of the strategy towards a more global approach.  </w:t>
      </w:r>
      <w:r w:rsidR="00683807" w:rsidRPr="00301E7E">
        <w:t>There were corresponding increases to public and private markets</w:t>
      </w:r>
      <w:r w:rsidR="003C2911" w:rsidRPr="00301E7E">
        <w:t>’</w:t>
      </w:r>
      <w:r w:rsidR="00683807" w:rsidRPr="00301E7E">
        <w:t xml:space="preserve"> fixed income asset classes, </w:t>
      </w:r>
      <w:r w:rsidR="00080A88" w:rsidRPr="00301E7E">
        <w:t xml:space="preserve">and </w:t>
      </w:r>
      <w:r w:rsidR="00535670" w:rsidRPr="00301E7E">
        <w:t xml:space="preserve">allocations to </w:t>
      </w:r>
      <w:r w:rsidR="0029549E" w:rsidRPr="00301E7E">
        <w:t xml:space="preserve">private markets </w:t>
      </w:r>
      <w:r w:rsidR="00535670" w:rsidRPr="00301E7E">
        <w:t>investments</w:t>
      </w:r>
      <w:r w:rsidR="0029549E" w:rsidRPr="00301E7E">
        <w:t xml:space="preserve"> </w:t>
      </w:r>
      <w:r w:rsidR="005B3DFD">
        <w:t xml:space="preserve">including to those </w:t>
      </w:r>
      <w:r w:rsidR="001D03A9" w:rsidRPr="00301E7E">
        <w:t xml:space="preserve">expected to have non-financial </w:t>
      </w:r>
      <w:r w:rsidR="00F87E68" w:rsidRPr="00301E7E">
        <w:t>benefits alongside their formal financial</w:t>
      </w:r>
      <w:r w:rsidR="00080A88" w:rsidRPr="00301E7E">
        <w:t xml:space="preserve"> </w:t>
      </w:r>
      <w:r w:rsidR="00F87E68" w:rsidRPr="00301E7E">
        <w:t>objectives.</w:t>
      </w:r>
    </w:p>
    <w:p w14:paraId="29B196C5" w14:textId="4F396FCC" w:rsidR="003B2A53" w:rsidRPr="00301E7E" w:rsidRDefault="003B2A53" w:rsidP="00C25837">
      <w:pPr>
        <w:pStyle w:val="ListParagraph"/>
        <w:ind w:left="-3" w:hanging="564"/>
      </w:pPr>
    </w:p>
    <w:p w14:paraId="4430D2A8" w14:textId="110186CC" w:rsidR="002529C1" w:rsidRPr="00301E7E" w:rsidRDefault="0024637D" w:rsidP="0066219E">
      <w:pPr>
        <w:pStyle w:val="ListParagraph"/>
        <w:ind w:left="138" w:hanging="564"/>
      </w:pPr>
      <w:r w:rsidRPr="00301E7E">
        <w:t>3.7</w:t>
      </w:r>
      <w:r w:rsidR="00C25837" w:rsidRPr="00301E7E">
        <w:tab/>
      </w:r>
      <w:r w:rsidR="005D2830" w:rsidRPr="00301E7E">
        <w:t xml:space="preserve">The extent of the reduction in equities in favour of fixed income was based on the estimated surplus position of the </w:t>
      </w:r>
      <w:r w:rsidR="00FF31FC" w:rsidRPr="00301E7E">
        <w:t xml:space="preserve">Fund.  </w:t>
      </w:r>
      <w:r w:rsidR="00AD2E4A" w:rsidRPr="00301E7E">
        <w:t xml:space="preserve">This led to changes to </w:t>
      </w:r>
      <w:r w:rsidR="00E92443" w:rsidRPr="00301E7E">
        <w:t>target asset allocations for the wh</w:t>
      </w:r>
      <w:r w:rsidR="003C2911" w:rsidRPr="00301E7E">
        <w:t>o</w:t>
      </w:r>
      <w:r w:rsidR="00E92443" w:rsidRPr="00301E7E">
        <w:t xml:space="preserve">le </w:t>
      </w:r>
      <w:r w:rsidR="003320E9" w:rsidRPr="00301E7E">
        <w:t>F</w:t>
      </w:r>
      <w:r w:rsidR="00E92443" w:rsidRPr="00301E7E">
        <w:t>und rather than these surplus assets being managed separately.</w:t>
      </w:r>
    </w:p>
    <w:p w14:paraId="200E54EB" w14:textId="77777777" w:rsidR="002529C1" w:rsidRPr="00301E7E" w:rsidRDefault="002529C1" w:rsidP="00C25837">
      <w:pPr>
        <w:pStyle w:val="ListParagraph"/>
        <w:ind w:left="-3" w:hanging="564"/>
      </w:pPr>
    </w:p>
    <w:p w14:paraId="60DC85B3" w14:textId="7EB9FB1C" w:rsidR="007B3FDA" w:rsidRPr="00301E7E" w:rsidRDefault="0024637D" w:rsidP="0066219E">
      <w:pPr>
        <w:pStyle w:val="ListParagraph"/>
        <w:ind w:left="138" w:hanging="564"/>
      </w:pPr>
      <w:r w:rsidRPr="00301E7E">
        <w:t xml:space="preserve">3.8 </w:t>
      </w:r>
      <w:r w:rsidR="00C25837" w:rsidRPr="00301E7E">
        <w:tab/>
      </w:r>
      <w:r w:rsidR="002529C1" w:rsidRPr="00301E7E">
        <w:t>The change</w:t>
      </w:r>
      <w:r w:rsidR="00FF2AC3" w:rsidRPr="00301E7E">
        <w:t>s</w:t>
      </w:r>
      <w:r w:rsidR="002529C1" w:rsidRPr="00301E7E">
        <w:t xml:space="preserve"> to the </w:t>
      </w:r>
      <w:r w:rsidR="00E57CD9" w:rsidRPr="00301E7E">
        <w:t>private markets allocation</w:t>
      </w:r>
      <w:r w:rsidR="00FF2AC3" w:rsidRPr="00301E7E">
        <w:t>s</w:t>
      </w:r>
      <w:r w:rsidR="002529C1" w:rsidRPr="00301E7E">
        <w:t xml:space="preserve"> of</w:t>
      </w:r>
      <w:r w:rsidR="00E57CD9" w:rsidRPr="00301E7E">
        <w:t xml:space="preserve"> </w:t>
      </w:r>
      <w:r w:rsidR="00FF2AC3" w:rsidRPr="00301E7E">
        <w:t>private credit</w:t>
      </w:r>
      <w:r w:rsidR="00C07B52" w:rsidRPr="00301E7E">
        <w:t>, climate opportunities and UK opportunities</w:t>
      </w:r>
      <w:r w:rsidR="00FF2AC3" w:rsidRPr="00301E7E">
        <w:t xml:space="preserve"> </w:t>
      </w:r>
      <w:r w:rsidR="00E57CD9" w:rsidRPr="00301E7E">
        <w:t xml:space="preserve">will be implemented over </w:t>
      </w:r>
      <w:r w:rsidR="00FF2AC3" w:rsidRPr="00301E7E">
        <w:t>several years</w:t>
      </w:r>
      <w:r w:rsidR="00E57CD9" w:rsidRPr="00301E7E">
        <w:t>.</w:t>
      </w:r>
      <w:r w:rsidR="00F650E3" w:rsidRPr="00301E7E">
        <w:t xml:space="preserve"> </w:t>
      </w:r>
      <w:r w:rsidR="00F7426B" w:rsidRPr="00301E7E">
        <w:t xml:space="preserve"> </w:t>
      </w:r>
      <w:r w:rsidR="00E57CD9" w:rsidRPr="00301E7E">
        <w:t xml:space="preserve">To help align the current asset allocation closer to the strategy while these illiquid allocations </w:t>
      </w:r>
      <w:r w:rsidR="003B5D73" w:rsidRPr="00301E7E">
        <w:t>grow over time</w:t>
      </w:r>
      <w:r w:rsidR="00E57CD9" w:rsidRPr="00301E7E">
        <w:t xml:space="preserve">, </w:t>
      </w:r>
      <w:r w:rsidR="00FF2AC3" w:rsidRPr="00301E7E">
        <w:t>L</w:t>
      </w:r>
      <w:r w:rsidR="00E57CD9" w:rsidRPr="00301E7E">
        <w:t xml:space="preserve">isted </w:t>
      </w:r>
      <w:r w:rsidR="00FF2AC3" w:rsidRPr="00301E7E">
        <w:t>A</w:t>
      </w:r>
      <w:r w:rsidR="00E57CD9" w:rsidRPr="00301E7E">
        <w:t xml:space="preserve">lternatives </w:t>
      </w:r>
      <w:r w:rsidR="00FF2AC3" w:rsidRPr="00301E7E">
        <w:t>is being</w:t>
      </w:r>
      <w:r w:rsidR="00B379F6" w:rsidRPr="00301E7E">
        <w:t xml:space="preserve"> used </w:t>
      </w:r>
      <w:r w:rsidR="00987F73" w:rsidRPr="00301E7E">
        <w:t>as a temporary proxy</w:t>
      </w:r>
      <w:r w:rsidR="00B76E3F" w:rsidRPr="00301E7E">
        <w:t xml:space="preserve"> investment</w:t>
      </w:r>
      <w:r w:rsidR="00B379F6" w:rsidRPr="00301E7E">
        <w:t>.</w:t>
      </w:r>
      <w:r w:rsidR="00F650E3" w:rsidRPr="00301E7E">
        <w:t xml:space="preserve"> </w:t>
      </w:r>
    </w:p>
    <w:p w14:paraId="07020510" w14:textId="77777777" w:rsidR="001D3482" w:rsidRPr="00301E7E" w:rsidRDefault="001D3482" w:rsidP="00C25837">
      <w:pPr>
        <w:pStyle w:val="ListParagraph"/>
        <w:ind w:left="-3" w:hanging="564"/>
      </w:pPr>
    </w:p>
    <w:p w14:paraId="7388F2E7" w14:textId="7050EB3C" w:rsidR="005F08DA" w:rsidRPr="00301E7E" w:rsidRDefault="0024637D" w:rsidP="0066219E">
      <w:pPr>
        <w:pStyle w:val="ListParagraph"/>
        <w:ind w:left="138" w:hanging="564"/>
      </w:pPr>
      <w:r w:rsidRPr="00301E7E">
        <w:t xml:space="preserve">3.9 </w:t>
      </w:r>
      <w:r w:rsidR="00C25837" w:rsidRPr="00301E7E">
        <w:tab/>
      </w:r>
      <w:r w:rsidR="005F08DA" w:rsidRPr="00301E7E">
        <w:t>The Fund’s current long-term strategic asset allocation is set out in the table below.</w:t>
      </w:r>
    </w:p>
    <w:p w14:paraId="67DB7BAE" w14:textId="77777777" w:rsidR="00871FF4" w:rsidRPr="00301E7E" w:rsidRDefault="00871FF4" w:rsidP="008B65C7">
      <w:pPr>
        <w:rPr>
          <w:rFonts w:cs="Aria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5"/>
        <w:gridCol w:w="2835"/>
      </w:tblGrid>
      <w:tr w:rsidR="007F7676" w:rsidRPr="00301E7E" w14:paraId="50268470" w14:textId="77777777" w:rsidTr="00D0059C">
        <w:tc>
          <w:tcPr>
            <w:tcW w:w="5778" w:type="dxa"/>
            <w:shd w:val="clear" w:color="auto" w:fill="auto"/>
          </w:tcPr>
          <w:p w14:paraId="6A24B479" w14:textId="77777777" w:rsidR="007F7676" w:rsidRPr="00301E7E" w:rsidRDefault="007F7676" w:rsidP="00AD79A1">
            <w:pPr>
              <w:rPr>
                <w:rFonts w:cs="Arial"/>
              </w:rPr>
            </w:pPr>
          </w:p>
        </w:tc>
        <w:tc>
          <w:tcPr>
            <w:tcW w:w="2898" w:type="dxa"/>
            <w:shd w:val="clear" w:color="auto" w:fill="auto"/>
          </w:tcPr>
          <w:p w14:paraId="1D2C863D" w14:textId="77777777" w:rsidR="007F7676" w:rsidRPr="00301E7E" w:rsidRDefault="007F7676" w:rsidP="00E80FD2">
            <w:pPr>
              <w:jc w:val="center"/>
              <w:rPr>
                <w:rFonts w:cs="Arial"/>
              </w:rPr>
            </w:pPr>
            <w:r w:rsidRPr="00301E7E">
              <w:rPr>
                <w:rFonts w:cs="Arial"/>
              </w:rPr>
              <w:t>Benchmark %</w:t>
            </w:r>
          </w:p>
        </w:tc>
      </w:tr>
      <w:tr w:rsidR="007F7676" w:rsidRPr="00301E7E" w14:paraId="13E92C9E" w14:textId="77777777" w:rsidTr="00D0059C">
        <w:tc>
          <w:tcPr>
            <w:tcW w:w="5778" w:type="dxa"/>
            <w:shd w:val="clear" w:color="auto" w:fill="auto"/>
          </w:tcPr>
          <w:p w14:paraId="70B391F4" w14:textId="77777777" w:rsidR="007F7676" w:rsidRPr="00301E7E" w:rsidRDefault="007F7676" w:rsidP="008B65C7">
            <w:pPr>
              <w:rPr>
                <w:rFonts w:cs="Arial"/>
              </w:rPr>
            </w:pPr>
            <w:r w:rsidRPr="00301E7E">
              <w:rPr>
                <w:rFonts w:cs="Arial"/>
              </w:rPr>
              <w:t>Equities</w:t>
            </w:r>
          </w:p>
        </w:tc>
        <w:tc>
          <w:tcPr>
            <w:tcW w:w="2898" w:type="dxa"/>
            <w:shd w:val="clear" w:color="auto" w:fill="auto"/>
          </w:tcPr>
          <w:p w14:paraId="33F3329B" w14:textId="63E3981B" w:rsidR="007F7676" w:rsidRPr="00301E7E" w:rsidRDefault="00240971" w:rsidP="00E80FD2">
            <w:pPr>
              <w:jc w:val="center"/>
              <w:rPr>
                <w:rFonts w:cs="Arial"/>
              </w:rPr>
            </w:pPr>
            <w:r w:rsidRPr="00301E7E">
              <w:rPr>
                <w:rFonts w:cs="Arial"/>
              </w:rPr>
              <w:t>39</w:t>
            </w:r>
          </w:p>
        </w:tc>
      </w:tr>
      <w:tr w:rsidR="007F7676" w:rsidRPr="00301E7E" w14:paraId="6FD9D2F8" w14:textId="77777777" w:rsidTr="00D0059C">
        <w:tc>
          <w:tcPr>
            <w:tcW w:w="5778" w:type="dxa"/>
            <w:shd w:val="clear" w:color="auto" w:fill="auto"/>
          </w:tcPr>
          <w:p w14:paraId="736167BC" w14:textId="77777777" w:rsidR="007F7676" w:rsidRPr="00301E7E" w:rsidRDefault="00EB63C4" w:rsidP="008B65C7">
            <w:pPr>
              <w:rPr>
                <w:rFonts w:cs="Arial"/>
              </w:rPr>
            </w:pPr>
            <w:r w:rsidRPr="00301E7E">
              <w:rPr>
                <w:rFonts w:cs="Arial"/>
              </w:rPr>
              <w:t>Infrastructure</w:t>
            </w:r>
          </w:p>
        </w:tc>
        <w:tc>
          <w:tcPr>
            <w:tcW w:w="2898" w:type="dxa"/>
            <w:shd w:val="clear" w:color="auto" w:fill="auto"/>
          </w:tcPr>
          <w:p w14:paraId="7AD59C4B" w14:textId="77777777" w:rsidR="007F7676" w:rsidRPr="00301E7E" w:rsidRDefault="00EB63C4" w:rsidP="00E80FD2">
            <w:pPr>
              <w:jc w:val="center"/>
              <w:rPr>
                <w:rFonts w:cs="Arial"/>
              </w:rPr>
            </w:pPr>
            <w:r w:rsidRPr="00301E7E">
              <w:rPr>
                <w:rFonts w:cs="Arial"/>
              </w:rPr>
              <w:t>10</w:t>
            </w:r>
          </w:p>
        </w:tc>
      </w:tr>
      <w:tr w:rsidR="00240971" w:rsidRPr="00301E7E" w14:paraId="6C1C3F81" w14:textId="77777777" w:rsidTr="00D0059C">
        <w:tc>
          <w:tcPr>
            <w:tcW w:w="5778" w:type="dxa"/>
            <w:shd w:val="clear" w:color="auto" w:fill="auto"/>
          </w:tcPr>
          <w:p w14:paraId="6984E8C9" w14:textId="44743F74" w:rsidR="00240971" w:rsidRPr="00301E7E" w:rsidRDefault="00240971" w:rsidP="008B65C7">
            <w:pPr>
              <w:rPr>
                <w:rFonts w:cs="Arial"/>
              </w:rPr>
            </w:pPr>
            <w:r w:rsidRPr="00301E7E">
              <w:rPr>
                <w:rFonts w:cs="Arial"/>
              </w:rPr>
              <w:t xml:space="preserve">Climate </w:t>
            </w:r>
            <w:r w:rsidR="00C00E5F" w:rsidRPr="00301E7E">
              <w:rPr>
                <w:rFonts w:cs="Arial"/>
              </w:rPr>
              <w:t>O</w:t>
            </w:r>
            <w:r w:rsidRPr="00301E7E">
              <w:rPr>
                <w:rFonts w:cs="Arial"/>
              </w:rPr>
              <w:t>pportunities</w:t>
            </w:r>
          </w:p>
        </w:tc>
        <w:tc>
          <w:tcPr>
            <w:tcW w:w="2898" w:type="dxa"/>
            <w:shd w:val="clear" w:color="auto" w:fill="auto"/>
          </w:tcPr>
          <w:p w14:paraId="2AE346B4" w14:textId="624765EC" w:rsidR="00240971" w:rsidRPr="00301E7E" w:rsidRDefault="00C00E5F" w:rsidP="00E80FD2">
            <w:pPr>
              <w:jc w:val="center"/>
              <w:rPr>
                <w:rFonts w:cs="Arial"/>
              </w:rPr>
            </w:pPr>
            <w:r w:rsidRPr="00301E7E">
              <w:rPr>
                <w:rFonts w:cs="Arial"/>
              </w:rPr>
              <w:t>4</w:t>
            </w:r>
          </w:p>
        </w:tc>
      </w:tr>
      <w:tr w:rsidR="00240971" w:rsidRPr="00301E7E" w14:paraId="4CC00859" w14:textId="77777777" w:rsidTr="00D0059C">
        <w:tc>
          <w:tcPr>
            <w:tcW w:w="5778" w:type="dxa"/>
            <w:shd w:val="clear" w:color="auto" w:fill="auto"/>
          </w:tcPr>
          <w:p w14:paraId="05068D6F" w14:textId="612959A7" w:rsidR="00240971" w:rsidRPr="00301E7E" w:rsidRDefault="00C00E5F" w:rsidP="008B65C7">
            <w:pPr>
              <w:rPr>
                <w:rFonts w:cs="Arial"/>
              </w:rPr>
            </w:pPr>
            <w:r w:rsidRPr="00301E7E">
              <w:rPr>
                <w:rFonts w:cs="Arial"/>
              </w:rPr>
              <w:t>UK Opportunities</w:t>
            </w:r>
          </w:p>
        </w:tc>
        <w:tc>
          <w:tcPr>
            <w:tcW w:w="2898" w:type="dxa"/>
            <w:shd w:val="clear" w:color="auto" w:fill="auto"/>
          </w:tcPr>
          <w:p w14:paraId="676C9C96" w14:textId="60ED29E7" w:rsidR="00240971" w:rsidRPr="00301E7E" w:rsidRDefault="00C00E5F" w:rsidP="00E80FD2">
            <w:pPr>
              <w:jc w:val="center"/>
              <w:rPr>
                <w:rFonts w:cs="Arial"/>
              </w:rPr>
            </w:pPr>
            <w:r w:rsidRPr="00301E7E">
              <w:rPr>
                <w:rFonts w:cs="Arial"/>
              </w:rPr>
              <w:t>1</w:t>
            </w:r>
          </w:p>
        </w:tc>
      </w:tr>
      <w:tr w:rsidR="007F7676" w:rsidRPr="00301E7E" w14:paraId="2274EFC8" w14:textId="77777777" w:rsidTr="00D0059C">
        <w:tc>
          <w:tcPr>
            <w:tcW w:w="5778" w:type="dxa"/>
            <w:shd w:val="clear" w:color="auto" w:fill="auto"/>
          </w:tcPr>
          <w:p w14:paraId="127F5953" w14:textId="77777777" w:rsidR="007F7676" w:rsidRPr="00301E7E" w:rsidRDefault="00EB63C4" w:rsidP="008B65C7">
            <w:pPr>
              <w:rPr>
                <w:rFonts w:cs="Arial"/>
              </w:rPr>
            </w:pPr>
            <w:r w:rsidRPr="00301E7E">
              <w:rPr>
                <w:rFonts w:cs="Arial"/>
              </w:rPr>
              <w:t>Property</w:t>
            </w:r>
          </w:p>
        </w:tc>
        <w:tc>
          <w:tcPr>
            <w:tcW w:w="2898" w:type="dxa"/>
            <w:shd w:val="clear" w:color="auto" w:fill="auto"/>
          </w:tcPr>
          <w:p w14:paraId="3A9287EA" w14:textId="2D4F2A50" w:rsidR="007F7676" w:rsidRPr="00301E7E" w:rsidRDefault="00C00E5F" w:rsidP="00E80FD2">
            <w:pPr>
              <w:jc w:val="center"/>
              <w:rPr>
                <w:rFonts w:cs="Arial"/>
              </w:rPr>
            </w:pPr>
            <w:r w:rsidRPr="00301E7E">
              <w:rPr>
                <w:rFonts w:cs="Arial"/>
              </w:rPr>
              <w:t>4.25</w:t>
            </w:r>
          </w:p>
        </w:tc>
      </w:tr>
      <w:tr w:rsidR="007F7676" w:rsidRPr="00301E7E" w14:paraId="253D306B" w14:textId="77777777" w:rsidTr="00D0059C">
        <w:tc>
          <w:tcPr>
            <w:tcW w:w="5778" w:type="dxa"/>
            <w:shd w:val="clear" w:color="auto" w:fill="auto"/>
          </w:tcPr>
          <w:p w14:paraId="7B1F81FA" w14:textId="77777777" w:rsidR="007F7676" w:rsidRPr="00301E7E" w:rsidRDefault="00EB63C4" w:rsidP="008B65C7">
            <w:pPr>
              <w:rPr>
                <w:rFonts w:cs="Arial"/>
              </w:rPr>
            </w:pPr>
            <w:r w:rsidRPr="00301E7E">
              <w:rPr>
                <w:rFonts w:cs="Arial"/>
              </w:rPr>
              <w:t>Private Credit</w:t>
            </w:r>
          </w:p>
        </w:tc>
        <w:tc>
          <w:tcPr>
            <w:tcW w:w="2898" w:type="dxa"/>
            <w:shd w:val="clear" w:color="auto" w:fill="auto"/>
          </w:tcPr>
          <w:p w14:paraId="02CA481D" w14:textId="5117051F" w:rsidR="007F7676" w:rsidRPr="00301E7E" w:rsidRDefault="00C00E5F" w:rsidP="00E80FD2">
            <w:pPr>
              <w:jc w:val="center"/>
              <w:rPr>
                <w:rFonts w:cs="Arial"/>
              </w:rPr>
            </w:pPr>
            <w:r w:rsidRPr="00301E7E">
              <w:rPr>
                <w:rFonts w:cs="Arial"/>
              </w:rPr>
              <w:t>11</w:t>
            </w:r>
          </w:p>
        </w:tc>
      </w:tr>
      <w:tr w:rsidR="007F7676" w:rsidRPr="00301E7E" w14:paraId="489E0639" w14:textId="77777777" w:rsidTr="00D0059C">
        <w:tc>
          <w:tcPr>
            <w:tcW w:w="5778" w:type="dxa"/>
            <w:shd w:val="clear" w:color="auto" w:fill="auto"/>
          </w:tcPr>
          <w:p w14:paraId="37772EF9" w14:textId="77777777" w:rsidR="007F7676" w:rsidRPr="00301E7E" w:rsidRDefault="00EB63C4" w:rsidP="008B65C7">
            <w:pPr>
              <w:rPr>
                <w:rFonts w:cs="Arial"/>
              </w:rPr>
            </w:pPr>
            <w:r w:rsidRPr="00301E7E">
              <w:rPr>
                <w:rFonts w:cs="Arial"/>
              </w:rPr>
              <w:t>Multi Asset Credit</w:t>
            </w:r>
          </w:p>
        </w:tc>
        <w:tc>
          <w:tcPr>
            <w:tcW w:w="2898" w:type="dxa"/>
            <w:shd w:val="clear" w:color="auto" w:fill="auto"/>
          </w:tcPr>
          <w:p w14:paraId="7251D67A" w14:textId="7B2C49BB" w:rsidR="007F7676" w:rsidRPr="00301E7E" w:rsidRDefault="00C00E5F" w:rsidP="00E80FD2">
            <w:pPr>
              <w:jc w:val="center"/>
              <w:rPr>
                <w:rFonts w:cs="Arial"/>
              </w:rPr>
            </w:pPr>
            <w:r w:rsidRPr="00301E7E">
              <w:rPr>
                <w:rFonts w:cs="Arial"/>
              </w:rPr>
              <w:t>5.25</w:t>
            </w:r>
          </w:p>
        </w:tc>
      </w:tr>
      <w:tr w:rsidR="007F7676" w:rsidRPr="00301E7E" w14:paraId="3FE33572" w14:textId="77777777" w:rsidTr="00D0059C">
        <w:tc>
          <w:tcPr>
            <w:tcW w:w="5778" w:type="dxa"/>
            <w:shd w:val="clear" w:color="auto" w:fill="auto"/>
          </w:tcPr>
          <w:p w14:paraId="716194F1" w14:textId="77777777" w:rsidR="007F7676" w:rsidRPr="00301E7E" w:rsidRDefault="00EB63C4" w:rsidP="008B65C7">
            <w:pPr>
              <w:rPr>
                <w:rFonts w:cs="Arial"/>
              </w:rPr>
            </w:pPr>
            <w:r w:rsidRPr="00301E7E">
              <w:rPr>
                <w:rFonts w:cs="Arial"/>
              </w:rPr>
              <w:t>Corporate Bonds</w:t>
            </w:r>
          </w:p>
        </w:tc>
        <w:tc>
          <w:tcPr>
            <w:tcW w:w="2898" w:type="dxa"/>
            <w:shd w:val="clear" w:color="auto" w:fill="auto"/>
          </w:tcPr>
          <w:p w14:paraId="479BD265" w14:textId="6D15721C" w:rsidR="007F7676" w:rsidRPr="00301E7E" w:rsidRDefault="00C00E5F" w:rsidP="00E80FD2">
            <w:pPr>
              <w:jc w:val="center"/>
              <w:rPr>
                <w:rFonts w:cs="Arial"/>
              </w:rPr>
            </w:pPr>
            <w:r w:rsidRPr="00301E7E">
              <w:rPr>
                <w:rFonts w:cs="Arial"/>
              </w:rPr>
              <w:t>8</w:t>
            </w:r>
          </w:p>
        </w:tc>
      </w:tr>
      <w:tr w:rsidR="007F7676" w:rsidRPr="00301E7E" w14:paraId="36D86E07" w14:textId="77777777" w:rsidTr="00D0059C">
        <w:tc>
          <w:tcPr>
            <w:tcW w:w="5778" w:type="dxa"/>
            <w:shd w:val="clear" w:color="auto" w:fill="auto"/>
          </w:tcPr>
          <w:p w14:paraId="0A863E91" w14:textId="77777777" w:rsidR="007F7676" w:rsidRPr="00301E7E" w:rsidRDefault="00EB63C4" w:rsidP="008B65C7">
            <w:pPr>
              <w:rPr>
                <w:rFonts w:cs="Arial"/>
              </w:rPr>
            </w:pPr>
            <w:r w:rsidRPr="00301E7E">
              <w:rPr>
                <w:rFonts w:cs="Arial"/>
              </w:rPr>
              <w:t>Government Bonds</w:t>
            </w:r>
          </w:p>
        </w:tc>
        <w:tc>
          <w:tcPr>
            <w:tcW w:w="2898" w:type="dxa"/>
            <w:shd w:val="clear" w:color="auto" w:fill="auto"/>
          </w:tcPr>
          <w:p w14:paraId="5B1B0695" w14:textId="6AC77AA7" w:rsidR="007F7676" w:rsidRPr="00301E7E" w:rsidRDefault="00C00E5F" w:rsidP="00E80FD2">
            <w:pPr>
              <w:jc w:val="center"/>
              <w:rPr>
                <w:rFonts w:cs="Arial"/>
              </w:rPr>
            </w:pPr>
            <w:r w:rsidRPr="00301E7E">
              <w:rPr>
                <w:rFonts w:cs="Arial"/>
              </w:rPr>
              <w:t>17.5</w:t>
            </w:r>
          </w:p>
        </w:tc>
      </w:tr>
    </w:tbl>
    <w:p w14:paraId="2801CB9A" w14:textId="77777777" w:rsidR="008F771B" w:rsidRPr="00301E7E" w:rsidRDefault="008F771B" w:rsidP="00AE331D">
      <w:pPr>
        <w:rPr>
          <w:rFonts w:cs="Arial"/>
        </w:rPr>
      </w:pPr>
    </w:p>
    <w:p w14:paraId="67EC8A3E" w14:textId="3455939D" w:rsidR="00EB63C4" w:rsidRPr="00301E7E" w:rsidRDefault="0024637D" w:rsidP="0066219E">
      <w:pPr>
        <w:pStyle w:val="ListParagraph"/>
        <w:ind w:left="142" w:hanging="567"/>
      </w:pPr>
      <w:r w:rsidRPr="00301E7E">
        <w:t xml:space="preserve">3.10 </w:t>
      </w:r>
      <w:r w:rsidR="00C25837" w:rsidRPr="00301E7E">
        <w:tab/>
      </w:r>
      <w:r w:rsidR="005F08DA" w:rsidRPr="00301E7E">
        <w:t>Actual</w:t>
      </w:r>
      <w:r w:rsidR="00EB63C4" w:rsidRPr="00301E7E">
        <w:t xml:space="preserve"> allocation</w:t>
      </w:r>
      <w:r w:rsidR="0037632E" w:rsidRPr="00301E7E">
        <w:t>s are</w:t>
      </w:r>
      <w:r w:rsidR="00EB63C4" w:rsidRPr="00301E7E">
        <w:t xml:space="preserve"> considered </w:t>
      </w:r>
      <w:r w:rsidR="005F08DA" w:rsidRPr="00301E7E">
        <w:t xml:space="preserve">with reference to the benchmark allocations </w:t>
      </w:r>
      <w:r w:rsidR="00EB63C4" w:rsidRPr="00301E7E">
        <w:t xml:space="preserve">each quarter.  Based on tactical views, rebalancing activity is carried out as required.  </w:t>
      </w:r>
      <w:r w:rsidR="00285200">
        <w:t xml:space="preserve">Rebalancing is always an option, but </w:t>
      </w:r>
      <w:r w:rsidR="00FF2AC3" w:rsidRPr="00301E7E">
        <w:t>3% t</w:t>
      </w:r>
      <w:r w:rsidR="006D7172" w:rsidRPr="00301E7E">
        <w:t xml:space="preserve">hresholds below and above </w:t>
      </w:r>
      <w:r w:rsidR="00FF2AC3" w:rsidRPr="00301E7E">
        <w:t>the allocations to the global equity managers</w:t>
      </w:r>
      <w:r w:rsidR="006D7172" w:rsidRPr="00301E7E">
        <w:t xml:space="preserve"> </w:t>
      </w:r>
      <w:r w:rsidR="00E73FF1" w:rsidRPr="00301E7E">
        <w:t xml:space="preserve">are in effect, </w:t>
      </w:r>
      <w:r w:rsidR="00F17B9F" w:rsidRPr="00301E7E">
        <w:t>to indicate when rebalancing would be expected</w:t>
      </w:r>
      <w:r w:rsidR="00BE0568">
        <w:t xml:space="preserve"> to take place</w:t>
      </w:r>
      <w:r w:rsidR="00C53C90" w:rsidRPr="00301E7E">
        <w:t>, subject to advice</w:t>
      </w:r>
      <w:r w:rsidR="005F08DA" w:rsidRPr="00301E7E">
        <w:t>.</w:t>
      </w:r>
    </w:p>
    <w:p w14:paraId="7880484F" w14:textId="7DA1DD06" w:rsidR="00391334" w:rsidRDefault="00391334">
      <w:pPr>
        <w:jc w:val="left"/>
      </w:pPr>
      <w:r>
        <w:br w:type="page"/>
      </w:r>
    </w:p>
    <w:p w14:paraId="6C62EC18" w14:textId="7CA1E1B4" w:rsidR="00655DCD" w:rsidRPr="00301E7E" w:rsidRDefault="00C25837" w:rsidP="0066219E">
      <w:pPr>
        <w:pStyle w:val="ListParagraph"/>
        <w:ind w:left="142" w:hanging="568"/>
      </w:pPr>
      <w:r w:rsidRPr="00301E7E">
        <w:lastRenderedPageBreak/>
        <w:t xml:space="preserve">3.11 </w:t>
      </w:r>
      <w:r w:rsidRPr="00301E7E">
        <w:tab/>
      </w:r>
      <w:r w:rsidR="002B529E" w:rsidRPr="00301E7E">
        <w:t xml:space="preserve">Historically and where possible, </w:t>
      </w:r>
      <w:r w:rsidR="000D04F2" w:rsidRPr="00301E7E">
        <w:t xml:space="preserve">investments at the </w:t>
      </w:r>
      <w:r w:rsidR="00655DCD" w:rsidRPr="00301E7E">
        <w:t>asset class</w:t>
      </w:r>
      <w:r w:rsidR="000D04F2" w:rsidRPr="00301E7E">
        <w:t xml:space="preserve"> level</w:t>
      </w:r>
      <w:r w:rsidR="000A709A" w:rsidRPr="00301E7E">
        <w:t xml:space="preserve"> </w:t>
      </w:r>
      <w:r w:rsidR="002B529E" w:rsidRPr="00301E7E">
        <w:t>have been</w:t>
      </w:r>
      <w:r w:rsidR="00655DCD" w:rsidRPr="00301E7E">
        <w:t xml:space="preserve"> sub-divided into two or more mandates with different investment managers operating to different benchmarks, further increasing the diversification of the Fund’s investments.</w:t>
      </w:r>
      <w:r w:rsidR="000A709A" w:rsidRPr="00301E7E">
        <w:t xml:space="preserve">  </w:t>
      </w:r>
      <w:r w:rsidR="002B529E" w:rsidRPr="00301E7E">
        <w:t>As assets are gradually being transferred to Border to Coast</w:t>
      </w:r>
      <w:r w:rsidR="006D7172" w:rsidRPr="00301E7E">
        <w:t xml:space="preserve"> (see section 6)</w:t>
      </w:r>
      <w:r w:rsidR="002B529E" w:rsidRPr="00301E7E">
        <w:t xml:space="preserve"> this is being replaced by a different </w:t>
      </w:r>
      <w:r w:rsidR="00BE383B" w:rsidRPr="00301E7E">
        <w:t>approach</w:t>
      </w:r>
      <w:r w:rsidR="002B529E" w:rsidRPr="00301E7E">
        <w:t xml:space="preserve">.  </w:t>
      </w:r>
      <w:r w:rsidR="00511BEF" w:rsidRPr="00301E7E">
        <w:t>The number of investments is reducing</w:t>
      </w:r>
      <w:r w:rsidR="00D57617" w:rsidRPr="00301E7E">
        <w:t>, but largely into</w:t>
      </w:r>
      <w:r w:rsidR="002B529E" w:rsidRPr="00301E7E">
        <w:t xml:space="preserve"> funds which employ two or more external investment managers.  </w:t>
      </w:r>
      <w:r w:rsidR="00501991" w:rsidRPr="00301E7E">
        <w:t>Therefore,</w:t>
      </w:r>
      <w:r w:rsidR="002B529E" w:rsidRPr="00301E7E">
        <w:t xml:space="preserve"> although the approach is changing, diversification is maintained</w:t>
      </w:r>
      <w:r w:rsidR="00C344F1">
        <w:t>,</w:t>
      </w:r>
      <w:r w:rsidR="002B529E" w:rsidRPr="00301E7E">
        <w:t xml:space="preserve"> and in some cases</w:t>
      </w:r>
      <w:r w:rsidR="00C344F1">
        <w:t>,</w:t>
      </w:r>
      <w:r w:rsidR="002B529E" w:rsidRPr="00301E7E">
        <w:t xml:space="preserve"> increased</w:t>
      </w:r>
      <w:r w:rsidR="0011281E" w:rsidRPr="00301E7E">
        <w:t xml:space="preserve">. </w:t>
      </w:r>
    </w:p>
    <w:p w14:paraId="2A08360D" w14:textId="77777777" w:rsidR="00655DCD" w:rsidRPr="008B65C7" w:rsidRDefault="00655DCD" w:rsidP="00C25837">
      <w:pPr>
        <w:pStyle w:val="ListParagraph"/>
        <w:ind w:left="0" w:hanging="564"/>
      </w:pPr>
    </w:p>
    <w:p w14:paraId="180E68C4" w14:textId="4D15C293" w:rsidR="00655DCD" w:rsidRPr="00AE331D" w:rsidRDefault="00C25837" w:rsidP="0066219E">
      <w:pPr>
        <w:pStyle w:val="ListParagraph"/>
        <w:ind w:left="138" w:hanging="564"/>
      </w:pPr>
      <w:r>
        <w:t xml:space="preserve">3.12 </w:t>
      </w:r>
      <w:r>
        <w:tab/>
      </w:r>
      <w:r w:rsidR="00376C15" w:rsidRPr="00FA783E">
        <w:t>E</w:t>
      </w:r>
      <w:r w:rsidR="00345AF5" w:rsidRPr="00AE331D">
        <w:t>ach investment manager operates to a s</w:t>
      </w:r>
      <w:r w:rsidR="00655DCD" w:rsidRPr="00AE331D">
        <w:t>pecific benchmark</w:t>
      </w:r>
      <w:r w:rsidR="00345AF5" w:rsidRPr="00AE331D">
        <w:t xml:space="preserve"> and to specific mandate restrictions</w:t>
      </w:r>
      <w:r w:rsidR="00376C15" w:rsidRPr="00AE331D">
        <w:t xml:space="preserve"> appropriate to their process and style</w:t>
      </w:r>
      <w:r w:rsidR="00345AF5" w:rsidRPr="00AE331D">
        <w:t xml:space="preserve">, </w:t>
      </w:r>
      <w:r w:rsidR="00655DCD" w:rsidRPr="00AE331D">
        <w:t>so that</w:t>
      </w:r>
      <w:r w:rsidR="00345AF5" w:rsidRPr="00AE331D">
        <w:t xml:space="preserve"> in aggregate, the</w:t>
      </w:r>
      <w:r w:rsidR="00376C15" w:rsidRPr="00AE331D">
        <w:t>ir activities are</w:t>
      </w:r>
      <w:r w:rsidR="00345AF5" w:rsidRPr="00AE331D">
        <w:t xml:space="preserve"> aligned to</w:t>
      </w:r>
      <w:r w:rsidR="00655DCD" w:rsidRPr="00AE331D">
        <w:t xml:space="preserve"> the </w:t>
      </w:r>
      <w:r w:rsidR="00376C15" w:rsidRPr="00AE331D">
        <w:t xml:space="preserve">overall performance </w:t>
      </w:r>
      <w:r w:rsidR="00345AF5" w:rsidRPr="00AE331D">
        <w:t xml:space="preserve">requirements </w:t>
      </w:r>
      <w:r w:rsidR="00376C15" w:rsidRPr="00AE331D">
        <w:t xml:space="preserve">and risk appetite </w:t>
      </w:r>
      <w:r w:rsidR="00345AF5" w:rsidRPr="00AE331D">
        <w:t xml:space="preserve">of </w:t>
      </w:r>
      <w:r w:rsidR="00655DCD" w:rsidRPr="00AE331D">
        <w:t>the Fund.</w:t>
      </w:r>
      <w:r w:rsidR="00345AF5" w:rsidRPr="00AE331D">
        <w:t xml:space="preserve">  Each</w:t>
      </w:r>
      <w:r w:rsidR="00655DCD" w:rsidRPr="00AE331D">
        <w:t xml:space="preserve"> manager hold</w:t>
      </w:r>
      <w:r w:rsidR="00345AF5" w:rsidRPr="00AE331D">
        <w:t>s</w:t>
      </w:r>
      <w:r w:rsidR="00655DCD" w:rsidRPr="00AE331D">
        <w:t xml:space="preserve"> a </w:t>
      </w:r>
      <w:r w:rsidR="00345AF5" w:rsidRPr="00AE331D">
        <w:t>range of underlying</w:t>
      </w:r>
      <w:r w:rsidR="00655DCD" w:rsidRPr="00AE331D">
        <w:t xml:space="preserve"> investments which reflects their views relative to their respective </w:t>
      </w:r>
      <w:r w:rsidR="00345AF5" w:rsidRPr="00AE331D">
        <w:t>benchmarks</w:t>
      </w:r>
      <w:r w:rsidR="00790026" w:rsidRPr="00AE331D">
        <w:t>, as permitted by their mandates</w:t>
      </w:r>
      <w:r w:rsidR="00345AF5" w:rsidRPr="00AE331D">
        <w:t>.</w:t>
      </w:r>
    </w:p>
    <w:p w14:paraId="0CB3778D" w14:textId="77777777" w:rsidR="00345AF5" w:rsidRPr="00AE331D" w:rsidRDefault="00345AF5" w:rsidP="00C25837">
      <w:pPr>
        <w:pStyle w:val="ListParagraph"/>
        <w:ind w:left="0" w:hanging="564"/>
      </w:pPr>
    </w:p>
    <w:p w14:paraId="58A89A8F" w14:textId="56D66F9F" w:rsidR="00345AF5" w:rsidRPr="00AE331D" w:rsidRDefault="00C25837" w:rsidP="0066219E">
      <w:pPr>
        <w:pStyle w:val="ListParagraph"/>
        <w:ind w:left="138" w:hanging="564"/>
      </w:pPr>
      <w:r>
        <w:t xml:space="preserve">3.13 </w:t>
      </w:r>
      <w:r>
        <w:tab/>
      </w:r>
      <w:r w:rsidR="00345AF5" w:rsidRPr="00AE331D">
        <w:t>The</w:t>
      </w:r>
      <w:r w:rsidR="00376C15" w:rsidRPr="00AE331D">
        <w:t xml:space="preserve"> investment management arrangements of the Fund are as follows.</w:t>
      </w:r>
    </w:p>
    <w:p w14:paraId="573E4B9F" w14:textId="77777777" w:rsidR="001D3482" w:rsidRDefault="001D3482" w:rsidP="00AE331D">
      <w:pPr>
        <w:rPr>
          <w:rFonts w:cs="Arial"/>
        </w:rPr>
      </w:pPr>
      <w:r>
        <w:rPr>
          <w:rFonts w:cs="Arial"/>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2762"/>
        <w:gridCol w:w="3898"/>
      </w:tblGrid>
      <w:tr w:rsidR="00D40778" w:rsidRPr="00C7635C" w14:paraId="1B29FC6F" w14:textId="77777777" w:rsidTr="00556F66">
        <w:trPr>
          <w:tblHeader/>
        </w:trPr>
        <w:tc>
          <w:tcPr>
            <w:tcW w:w="2362" w:type="dxa"/>
            <w:shd w:val="clear" w:color="auto" w:fill="auto"/>
          </w:tcPr>
          <w:p w14:paraId="0BE7ED47" w14:textId="77777777" w:rsidR="001D3482" w:rsidRPr="00C7635C" w:rsidRDefault="001D3482" w:rsidP="008B65C7">
            <w:pPr>
              <w:rPr>
                <w:rFonts w:cs="Arial"/>
                <w:b/>
              </w:rPr>
            </w:pPr>
            <w:r w:rsidRPr="00C7635C">
              <w:rPr>
                <w:rFonts w:cs="Arial"/>
                <w:b/>
              </w:rPr>
              <w:t>Manager</w:t>
            </w:r>
          </w:p>
        </w:tc>
        <w:tc>
          <w:tcPr>
            <w:tcW w:w="2762" w:type="dxa"/>
            <w:shd w:val="clear" w:color="auto" w:fill="auto"/>
          </w:tcPr>
          <w:p w14:paraId="5B868074" w14:textId="77777777" w:rsidR="001D3482" w:rsidRPr="00C7635C" w:rsidRDefault="001D3482" w:rsidP="00AD79A1">
            <w:pPr>
              <w:rPr>
                <w:rFonts w:cs="Arial"/>
                <w:b/>
              </w:rPr>
            </w:pPr>
            <w:r w:rsidRPr="00C7635C">
              <w:rPr>
                <w:rFonts w:cs="Arial"/>
                <w:b/>
              </w:rPr>
              <w:t>Mandate</w:t>
            </w:r>
          </w:p>
        </w:tc>
        <w:tc>
          <w:tcPr>
            <w:tcW w:w="3898" w:type="dxa"/>
            <w:shd w:val="clear" w:color="auto" w:fill="auto"/>
          </w:tcPr>
          <w:p w14:paraId="51FABCCE" w14:textId="5F58F7DF" w:rsidR="001D3482" w:rsidRPr="00C7635C" w:rsidRDefault="001D3482">
            <w:pPr>
              <w:rPr>
                <w:rFonts w:cs="Arial"/>
                <w:b/>
              </w:rPr>
            </w:pPr>
            <w:r w:rsidRPr="00C7635C">
              <w:rPr>
                <w:rFonts w:cs="Arial"/>
                <w:b/>
              </w:rPr>
              <w:t>Objective</w:t>
            </w:r>
            <w:r w:rsidR="00F90C4B">
              <w:rPr>
                <w:rFonts w:cs="Arial"/>
                <w:b/>
              </w:rPr>
              <w:t xml:space="preserve"> (net unless stated)</w:t>
            </w:r>
          </w:p>
        </w:tc>
      </w:tr>
      <w:tr w:rsidR="00D40778" w:rsidRPr="00C7635C" w14:paraId="5D569574" w14:textId="77777777" w:rsidTr="00556F66">
        <w:tc>
          <w:tcPr>
            <w:tcW w:w="2362" w:type="dxa"/>
            <w:shd w:val="clear" w:color="auto" w:fill="auto"/>
          </w:tcPr>
          <w:p w14:paraId="34C600BF" w14:textId="01B95AD3" w:rsidR="00D40778" w:rsidRPr="00C7635C" w:rsidRDefault="00D40778" w:rsidP="008B65C7">
            <w:pPr>
              <w:rPr>
                <w:rFonts w:cs="Arial"/>
              </w:rPr>
            </w:pPr>
          </w:p>
        </w:tc>
        <w:tc>
          <w:tcPr>
            <w:tcW w:w="2762" w:type="dxa"/>
            <w:shd w:val="clear" w:color="auto" w:fill="auto"/>
          </w:tcPr>
          <w:p w14:paraId="2B1771BC" w14:textId="3EDDF165" w:rsidR="00D40778" w:rsidRPr="00C7635C" w:rsidRDefault="00D40778" w:rsidP="00AD79A1">
            <w:pPr>
              <w:rPr>
                <w:rFonts w:cs="Arial"/>
              </w:rPr>
            </w:pPr>
          </w:p>
        </w:tc>
        <w:tc>
          <w:tcPr>
            <w:tcW w:w="3898" w:type="dxa"/>
            <w:shd w:val="clear" w:color="auto" w:fill="auto"/>
          </w:tcPr>
          <w:p w14:paraId="0087305A" w14:textId="77777777" w:rsidR="00C55E15" w:rsidRPr="00C7635C" w:rsidRDefault="00C55E15">
            <w:pPr>
              <w:rPr>
                <w:rFonts w:cs="Arial"/>
              </w:rPr>
            </w:pPr>
          </w:p>
        </w:tc>
      </w:tr>
      <w:tr w:rsidR="00B05214" w:rsidRPr="00C7635C" w14:paraId="27D1CDEA" w14:textId="77777777" w:rsidTr="00556F66">
        <w:tc>
          <w:tcPr>
            <w:tcW w:w="2362" w:type="dxa"/>
            <w:shd w:val="clear" w:color="auto" w:fill="auto"/>
          </w:tcPr>
          <w:p w14:paraId="5DB07C26" w14:textId="77777777" w:rsidR="00B05214" w:rsidRDefault="0011281E" w:rsidP="008B65C7">
            <w:pPr>
              <w:rPr>
                <w:rFonts w:cs="Arial"/>
              </w:rPr>
            </w:pPr>
            <w:r>
              <w:rPr>
                <w:rFonts w:cs="Arial"/>
              </w:rPr>
              <w:t>Border to Coast</w:t>
            </w:r>
          </w:p>
        </w:tc>
        <w:tc>
          <w:tcPr>
            <w:tcW w:w="2762" w:type="dxa"/>
            <w:shd w:val="clear" w:color="auto" w:fill="auto"/>
          </w:tcPr>
          <w:p w14:paraId="5697B085" w14:textId="77777777" w:rsidR="00B05214" w:rsidRDefault="00B05214" w:rsidP="00AD79A1">
            <w:pPr>
              <w:rPr>
                <w:rFonts w:cs="Arial"/>
              </w:rPr>
            </w:pPr>
            <w:r>
              <w:rPr>
                <w:rFonts w:cs="Arial"/>
              </w:rPr>
              <w:t>Global Equities</w:t>
            </w:r>
          </w:p>
          <w:p w14:paraId="145BBBAE" w14:textId="77777777" w:rsidR="00B05214" w:rsidRPr="00B05214" w:rsidRDefault="00B05214">
            <w:pPr>
              <w:rPr>
                <w:rFonts w:cs="Arial"/>
              </w:rPr>
            </w:pPr>
          </w:p>
        </w:tc>
        <w:tc>
          <w:tcPr>
            <w:tcW w:w="3898" w:type="dxa"/>
            <w:shd w:val="clear" w:color="auto" w:fill="auto"/>
          </w:tcPr>
          <w:p w14:paraId="1E3BC221" w14:textId="77777777" w:rsidR="00B05214" w:rsidRPr="00C7635C" w:rsidRDefault="00B05214">
            <w:pPr>
              <w:rPr>
                <w:rFonts w:cs="Arial"/>
              </w:rPr>
            </w:pPr>
            <w:r w:rsidRPr="00C7635C">
              <w:rPr>
                <w:rFonts w:cs="Arial"/>
              </w:rPr>
              <w:t xml:space="preserve">To outperform the </w:t>
            </w:r>
            <w:r>
              <w:rPr>
                <w:rFonts w:cs="Arial"/>
              </w:rPr>
              <w:t xml:space="preserve">MSCI All Countries World </w:t>
            </w:r>
            <w:r w:rsidRPr="00C7635C">
              <w:rPr>
                <w:rFonts w:cs="Arial"/>
              </w:rPr>
              <w:t xml:space="preserve">Index by </w:t>
            </w:r>
            <w:r>
              <w:rPr>
                <w:rFonts w:cs="Arial"/>
              </w:rPr>
              <w:t>2</w:t>
            </w:r>
            <w:r w:rsidRPr="00C7635C">
              <w:rPr>
                <w:rFonts w:cs="Arial"/>
              </w:rPr>
              <w:t>% pa over the long term</w:t>
            </w:r>
          </w:p>
          <w:p w14:paraId="75931D23" w14:textId="77777777" w:rsidR="00B05214" w:rsidRPr="00C7635C" w:rsidRDefault="00B05214">
            <w:pPr>
              <w:rPr>
                <w:rFonts w:cs="Arial"/>
              </w:rPr>
            </w:pPr>
          </w:p>
        </w:tc>
      </w:tr>
      <w:tr w:rsidR="00D40778" w:rsidRPr="00C7635C" w14:paraId="7CB25D72" w14:textId="77777777" w:rsidTr="00556F66">
        <w:tc>
          <w:tcPr>
            <w:tcW w:w="2362" w:type="dxa"/>
            <w:shd w:val="clear" w:color="auto" w:fill="auto"/>
          </w:tcPr>
          <w:p w14:paraId="36D549C6" w14:textId="77777777" w:rsidR="00D40778" w:rsidRPr="00C7635C" w:rsidRDefault="00D40778" w:rsidP="008B65C7">
            <w:pPr>
              <w:rPr>
                <w:rFonts w:cs="Arial"/>
              </w:rPr>
            </w:pPr>
            <w:r w:rsidRPr="00C7635C">
              <w:rPr>
                <w:rFonts w:cs="Arial"/>
              </w:rPr>
              <w:t>Baillie Gifford</w:t>
            </w:r>
          </w:p>
        </w:tc>
        <w:tc>
          <w:tcPr>
            <w:tcW w:w="2762" w:type="dxa"/>
            <w:shd w:val="clear" w:color="auto" w:fill="auto"/>
          </w:tcPr>
          <w:p w14:paraId="2F7BFA83" w14:textId="77777777" w:rsidR="00D40778" w:rsidRPr="00C7635C" w:rsidRDefault="00D40778" w:rsidP="00AD79A1">
            <w:pPr>
              <w:rPr>
                <w:rFonts w:cs="Arial"/>
              </w:rPr>
            </w:pPr>
            <w:r w:rsidRPr="00C7635C">
              <w:rPr>
                <w:rFonts w:cs="Arial"/>
              </w:rPr>
              <w:t>Global Equities (Long Term Global Growth)</w:t>
            </w:r>
          </w:p>
        </w:tc>
        <w:tc>
          <w:tcPr>
            <w:tcW w:w="3898" w:type="dxa"/>
            <w:shd w:val="clear" w:color="auto" w:fill="auto"/>
          </w:tcPr>
          <w:p w14:paraId="4246354D" w14:textId="24F10053" w:rsidR="00D40778" w:rsidRPr="00C7635C" w:rsidRDefault="00D40778">
            <w:pPr>
              <w:rPr>
                <w:rFonts w:cs="Arial"/>
              </w:rPr>
            </w:pPr>
            <w:r w:rsidRPr="00C7635C">
              <w:rPr>
                <w:rFonts w:cs="Arial"/>
              </w:rPr>
              <w:t xml:space="preserve">To outperform the FTSE All World Index by 3% </w:t>
            </w:r>
            <w:r w:rsidR="005823C0">
              <w:rPr>
                <w:rFonts w:cs="Arial"/>
              </w:rPr>
              <w:t xml:space="preserve">(gross) </w:t>
            </w:r>
            <w:r w:rsidRPr="00C7635C">
              <w:rPr>
                <w:rFonts w:cs="Arial"/>
              </w:rPr>
              <w:t>over the long term</w:t>
            </w:r>
          </w:p>
          <w:p w14:paraId="1A77B047" w14:textId="77777777" w:rsidR="00C55E15" w:rsidRPr="00C7635C" w:rsidRDefault="00C55E15">
            <w:pPr>
              <w:rPr>
                <w:rFonts w:cs="Arial"/>
              </w:rPr>
            </w:pPr>
          </w:p>
        </w:tc>
      </w:tr>
      <w:tr w:rsidR="00135C4E" w14:paraId="7ABFEF1E" w14:textId="77777777" w:rsidTr="00556F66">
        <w:trPr>
          <w:trHeight w:val="512"/>
        </w:trPr>
        <w:tc>
          <w:tcPr>
            <w:tcW w:w="2362" w:type="dxa"/>
            <w:shd w:val="clear" w:color="auto" w:fill="auto"/>
          </w:tcPr>
          <w:p w14:paraId="6C0DF5D6" w14:textId="680C7C10" w:rsidR="00135C4E" w:rsidRDefault="00135C4E" w:rsidP="008B65C7">
            <w:pPr>
              <w:rPr>
                <w:rFonts w:cs="Arial"/>
              </w:rPr>
            </w:pPr>
            <w:r>
              <w:rPr>
                <w:rFonts w:cs="Arial"/>
              </w:rPr>
              <w:t>Border to Coast</w:t>
            </w:r>
          </w:p>
        </w:tc>
        <w:tc>
          <w:tcPr>
            <w:tcW w:w="2762" w:type="dxa"/>
            <w:shd w:val="clear" w:color="auto" w:fill="auto"/>
          </w:tcPr>
          <w:p w14:paraId="6E9D16C3" w14:textId="3446C9F4" w:rsidR="00135C4E" w:rsidRDefault="00135C4E" w:rsidP="00AD79A1">
            <w:pPr>
              <w:rPr>
                <w:rFonts w:cs="Arial"/>
              </w:rPr>
            </w:pPr>
            <w:r>
              <w:rPr>
                <w:rFonts w:cs="Arial"/>
              </w:rPr>
              <w:t>Listed Alternatives</w:t>
            </w:r>
          </w:p>
        </w:tc>
        <w:tc>
          <w:tcPr>
            <w:tcW w:w="3898" w:type="dxa"/>
            <w:shd w:val="clear" w:color="auto" w:fill="auto"/>
          </w:tcPr>
          <w:p w14:paraId="568B2804" w14:textId="77777777" w:rsidR="00135C4E" w:rsidRDefault="00135C4E">
            <w:pPr>
              <w:rPr>
                <w:rFonts w:cs="Arial"/>
              </w:rPr>
            </w:pPr>
            <w:r>
              <w:rPr>
                <w:rFonts w:cs="Arial"/>
              </w:rPr>
              <w:t>MSCI All Country World Index (Net) over the medium term</w:t>
            </w:r>
          </w:p>
          <w:p w14:paraId="1B7F3925" w14:textId="378A7A86" w:rsidR="00135C4E" w:rsidRDefault="00135C4E">
            <w:pPr>
              <w:rPr>
                <w:rFonts w:cs="Arial"/>
              </w:rPr>
            </w:pPr>
          </w:p>
        </w:tc>
      </w:tr>
      <w:tr w:rsidR="0011281E" w14:paraId="04EADCE2" w14:textId="77777777" w:rsidTr="00556F66">
        <w:trPr>
          <w:trHeight w:val="512"/>
        </w:trPr>
        <w:tc>
          <w:tcPr>
            <w:tcW w:w="2362" w:type="dxa"/>
            <w:shd w:val="clear" w:color="auto" w:fill="auto"/>
          </w:tcPr>
          <w:p w14:paraId="5697658E" w14:textId="77777777" w:rsidR="0011281E" w:rsidRPr="00C7635C" w:rsidRDefault="0011281E" w:rsidP="008B65C7">
            <w:pPr>
              <w:rPr>
                <w:rFonts w:cs="Arial"/>
              </w:rPr>
            </w:pPr>
            <w:r>
              <w:rPr>
                <w:rFonts w:cs="Arial"/>
              </w:rPr>
              <w:t>Border to Coast</w:t>
            </w:r>
          </w:p>
        </w:tc>
        <w:tc>
          <w:tcPr>
            <w:tcW w:w="2762" w:type="dxa"/>
            <w:shd w:val="clear" w:color="auto" w:fill="auto"/>
          </w:tcPr>
          <w:p w14:paraId="091FD174" w14:textId="77777777" w:rsidR="0011281E" w:rsidRDefault="0011281E" w:rsidP="00AD79A1">
            <w:pPr>
              <w:rPr>
                <w:rFonts w:cs="Arial"/>
              </w:rPr>
            </w:pPr>
            <w:r>
              <w:rPr>
                <w:rFonts w:cs="Arial"/>
              </w:rPr>
              <w:t>Infrastructure</w:t>
            </w:r>
          </w:p>
        </w:tc>
        <w:tc>
          <w:tcPr>
            <w:tcW w:w="3898" w:type="dxa"/>
            <w:shd w:val="clear" w:color="auto" w:fill="auto"/>
          </w:tcPr>
          <w:p w14:paraId="24B312F4" w14:textId="648AD898" w:rsidR="0011281E" w:rsidRDefault="0011281E">
            <w:pPr>
              <w:rPr>
                <w:rFonts w:cs="Arial"/>
              </w:rPr>
            </w:pPr>
            <w:r>
              <w:rPr>
                <w:rFonts w:cs="Arial"/>
              </w:rPr>
              <w:t>IRR of 8%</w:t>
            </w:r>
          </w:p>
        </w:tc>
      </w:tr>
      <w:tr w:rsidR="00135C4E" w14:paraId="7343D202" w14:textId="77777777" w:rsidTr="00556F66">
        <w:trPr>
          <w:trHeight w:val="512"/>
        </w:trPr>
        <w:tc>
          <w:tcPr>
            <w:tcW w:w="2362" w:type="dxa"/>
            <w:shd w:val="clear" w:color="auto" w:fill="auto"/>
          </w:tcPr>
          <w:p w14:paraId="60B4209F" w14:textId="566540E0" w:rsidR="00135C4E" w:rsidRDefault="00135C4E" w:rsidP="008B65C7">
            <w:pPr>
              <w:rPr>
                <w:rFonts w:cs="Arial"/>
              </w:rPr>
            </w:pPr>
            <w:r>
              <w:rPr>
                <w:rFonts w:cs="Arial"/>
              </w:rPr>
              <w:t>Border to Coast</w:t>
            </w:r>
          </w:p>
        </w:tc>
        <w:tc>
          <w:tcPr>
            <w:tcW w:w="2762" w:type="dxa"/>
            <w:shd w:val="clear" w:color="auto" w:fill="auto"/>
          </w:tcPr>
          <w:p w14:paraId="7954523E" w14:textId="617DCFE5" w:rsidR="00135C4E" w:rsidRDefault="00135C4E" w:rsidP="00AD79A1">
            <w:pPr>
              <w:rPr>
                <w:rFonts w:cs="Arial"/>
              </w:rPr>
            </w:pPr>
            <w:r>
              <w:rPr>
                <w:rFonts w:cs="Arial"/>
              </w:rPr>
              <w:t>Climate Opportunities</w:t>
            </w:r>
          </w:p>
        </w:tc>
        <w:tc>
          <w:tcPr>
            <w:tcW w:w="3898" w:type="dxa"/>
            <w:shd w:val="clear" w:color="auto" w:fill="auto"/>
          </w:tcPr>
          <w:p w14:paraId="32E4169A" w14:textId="5DE0DD5C" w:rsidR="00135C4E" w:rsidRDefault="00135C4E">
            <w:pPr>
              <w:rPr>
                <w:rFonts w:cs="Arial"/>
              </w:rPr>
            </w:pPr>
            <w:r>
              <w:rPr>
                <w:rFonts w:cs="Arial"/>
              </w:rPr>
              <w:t>IRR of 8%</w:t>
            </w:r>
          </w:p>
        </w:tc>
      </w:tr>
      <w:tr w:rsidR="00393FCA" w14:paraId="28EC6DE7" w14:textId="77777777" w:rsidTr="00556F66">
        <w:trPr>
          <w:trHeight w:val="512"/>
        </w:trPr>
        <w:tc>
          <w:tcPr>
            <w:tcW w:w="2362" w:type="dxa"/>
            <w:shd w:val="clear" w:color="auto" w:fill="auto"/>
          </w:tcPr>
          <w:p w14:paraId="4CA7DB7F" w14:textId="3152E4FD" w:rsidR="00393FCA" w:rsidRDefault="00393FCA" w:rsidP="008B65C7">
            <w:pPr>
              <w:rPr>
                <w:rFonts w:cs="Arial"/>
              </w:rPr>
            </w:pPr>
            <w:r>
              <w:rPr>
                <w:rFonts w:cs="Arial"/>
              </w:rPr>
              <w:t>Border to Coast</w:t>
            </w:r>
          </w:p>
        </w:tc>
        <w:tc>
          <w:tcPr>
            <w:tcW w:w="2762" w:type="dxa"/>
            <w:shd w:val="clear" w:color="auto" w:fill="auto"/>
          </w:tcPr>
          <w:p w14:paraId="5E9C78B1" w14:textId="57F44B45" w:rsidR="00393FCA" w:rsidRDefault="00393FCA" w:rsidP="00AD79A1">
            <w:pPr>
              <w:rPr>
                <w:rFonts w:cs="Arial"/>
              </w:rPr>
            </w:pPr>
            <w:r>
              <w:rPr>
                <w:rFonts w:cs="Arial"/>
              </w:rPr>
              <w:t>UK Opportunities</w:t>
            </w:r>
          </w:p>
        </w:tc>
        <w:tc>
          <w:tcPr>
            <w:tcW w:w="3898" w:type="dxa"/>
            <w:shd w:val="clear" w:color="auto" w:fill="auto"/>
          </w:tcPr>
          <w:p w14:paraId="33CF0B2C" w14:textId="6E0A413A" w:rsidR="00393FCA" w:rsidRDefault="00393FCA">
            <w:pPr>
              <w:rPr>
                <w:rFonts w:cs="Arial"/>
              </w:rPr>
            </w:pPr>
            <w:r>
              <w:rPr>
                <w:rFonts w:cs="Arial"/>
              </w:rPr>
              <w:t>IRR of 8%</w:t>
            </w:r>
          </w:p>
        </w:tc>
      </w:tr>
      <w:tr w:rsidR="0047279C" w:rsidRPr="00C7635C" w14:paraId="40EBCD5A" w14:textId="77777777" w:rsidTr="00556F66">
        <w:tc>
          <w:tcPr>
            <w:tcW w:w="2362" w:type="dxa"/>
            <w:shd w:val="clear" w:color="auto" w:fill="auto"/>
          </w:tcPr>
          <w:p w14:paraId="22C7679B" w14:textId="77777777" w:rsidR="0047279C" w:rsidRPr="00C7635C" w:rsidRDefault="0047279C" w:rsidP="008B65C7">
            <w:pPr>
              <w:rPr>
                <w:rFonts w:cs="Arial"/>
              </w:rPr>
            </w:pPr>
            <w:r w:rsidRPr="00C7635C">
              <w:rPr>
                <w:rFonts w:cs="Arial"/>
              </w:rPr>
              <w:t>Legal &amp; General</w:t>
            </w:r>
          </w:p>
        </w:tc>
        <w:tc>
          <w:tcPr>
            <w:tcW w:w="2762" w:type="dxa"/>
            <w:shd w:val="clear" w:color="auto" w:fill="auto"/>
          </w:tcPr>
          <w:p w14:paraId="56DE69B8" w14:textId="77777777" w:rsidR="0047279C" w:rsidRPr="00C7635C" w:rsidRDefault="0047279C" w:rsidP="00AD79A1">
            <w:pPr>
              <w:rPr>
                <w:rFonts w:cs="Arial"/>
              </w:rPr>
            </w:pPr>
            <w:r w:rsidRPr="00C7635C">
              <w:rPr>
                <w:rFonts w:cs="Arial"/>
              </w:rPr>
              <w:t>UK Property</w:t>
            </w:r>
          </w:p>
        </w:tc>
        <w:tc>
          <w:tcPr>
            <w:tcW w:w="3898" w:type="dxa"/>
            <w:shd w:val="clear" w:color="auto" w:fill="auto"/>
          </w:tcPr>
          <w:p w14:paraId="2D8A8B77" w14:textId="0A1E1DA9" w:rsidR="0047279C" w:rsidRPr="00C7635C" w:rsidRDefault="0047279C">
            <w:pPr>
              <w:rPr>
                <w:rFonts w:cs="Arial"/>
              </w:rPr>
            </w:pPr>
            <w:r w:rsidRPr="00C7635C">
              <w:rPr>
                <w:rFonts w:cs="Arial"/>
              </w:rPr>
              <w:t xml:space="preserve">To outperform the </w:t>
            </w:r>
            <w:r w:rsidR="00B13E7B">
              <w:rPr>
                <w:rFonts w:cs="Arial"/>
              </w:rPr>
              <w:t>MSCI</w:t>
            </w:r>
            <w:r w:rsidRPr="00C7635C">
              <w:rPr>
                <w:rFonts w:cs="Arial"/>
              </w:rPr>
              <w:t xml:space="preserve"> All Balanced Property Funds Index over the medium term</w:t>
            </w:r>
          </w:p>
          <w:p w14:paraId="371522FB" w14:textId="77777777" w:rsidR="00C55E15" w:rsidRPr="00C7635C" w:rsidRDefault="00C55E15">
            <w:pPr>
              <w:rPr>
                <w:rFonts w:cs="Arial"/>
              </w:rPr>
            </w:pPr>
          </w:p>
        </w:tc>
      </w:tr>
      <w:tr w:rsidR="0047279C" w:rsidRPr="00C7635C" w14:paraId="61AE1124" w14:textId="77777777" w:rsidTr="00556F66">
        <w:tc>
          <w:tcPr>
            <w:tcW w:w="2362" w:type="dxa"/>
            <w:shd w:val="clear" w:color="auto" w:fill="auto"/>
          </w:tcPr>
          <w:p w14:paraId="3131CB31" w14:textId="77777777" w:rsidR="0047279C" w:rsidRPr="00C7635C" w:rsidRDefault="0047279C" w:rsidP="008B65C7">
            <w:pPr>
              <w:rPr>
                <w:rFonts w:cs="Arial"/>
              </w:rPr>
            </w:pPr>
            <w:r w:rsidRPr="00C7635C">
              <w:rPr>
                <w:rFonts w:cs="Arial"/>
              </w:rPr>
              <w:t>Threadneedle</w:t>
            </w:r>
          </w:p>
        </w:tc>
        <w:tc>
          <w:tcPr>
            <w:tcW w:w="2762" w:type="dxa"/>
            <w:shd w:val="clear" w:color="auto" w:fill="auto"/>
          </w:tcPr>
          <w:p w14:paraId="5E4CD3F1" w14:textId="77777777" w:rsidR="0047279C" w:rsidRPr="00C7635C" w:rsidRDefault="0047279C" w:rsidP="00AD79A1">
            <w:pPr>
              <w:rPr>
                <w:rFonts w:cs="Arial"/>
              </w:rPr>
            </w:pPr>
            <w:r w:rsidRPr="00C7635C">
              <w:rPr>
                <w:rFonts w:cs="Arial"/>
              </w:rPr>
              <w:t>UK Property</w:t>
            </w:r>
          </w:p>
        </w:tc>
        <w:tc>
          <w:tcPr>
            <w:tcW w:w="3898" w:type="dxa"/>
            <w:shd w:val="clear" w:color="auto" w:fill="auto"/>
          </w:tcPr>
          <w:p w14:paraId="446BA6C8" w14:textId="47858C3F" w:rsidR="0047279C" w:rsidRPr="00C7635C" w:rsidRDefault="0047279C">
            <w:pPr>
              <w:rPr>
                <w:rFonts w:cs="Arial"/>
              </w:rPr>
            </w:pPr>
            <w:r w:rsidRPr="00C7635C">
              <w:rPr>
                <w:rFonts w:cs="Arial"/>
              </w:rPr>
              <w:t xml:space="preserve">To outperform the </w:t>
            </w:r>
            <w:r w:rsidR="00B13E7B">
              <w:rPr>
                <w:rFonts w:cs="Arial"/>
              </w:rPr>
              <w:t>MSCI</w:t>
            </w:r>
            <w:r w:rsidRPr="00C7635C">
              <w:rPr>
                <w:rFonts w:cs="Arial"/>
              </w:rPr>
              <w:t xml:space="preserve"> All Balanced Property Funds Index by 1% to 1.5% over the medium term</w:t>
            </w:r>
          </w:p>
          <w:p w14:paraId="70EA2583" w14:textId="77777777" w:rsidR="00C55E15" w:rsidRPr="00C7635C" w:rsidRDefault="00C55E15">
            <w:pPr>
              <w:rPr>
                <w:rFonts w:cs="Arial"/>
              </w:rPr>
            </w:pPr>
          </w:p>
        </w:tc>
      </w:tr>
      <w:tr w:rsidR="000949F2" w:rsidRPr="00C7635C" w14:paraId="4021865E" w14:textId="77777777" w:rsidTr="00556F66">
        <w:tc>
          <w:tcPr>
            <w:tcW w:w="2362" w:type="dxa"/>
            <w:shd w:val="clear" w:color="auto" w:fill="auto"/>
          </w:tcPr>
          <w:p w14:paraId="6DD48A56" w14:textId="53722E77" w:rsidR="000949F2" w:rsidRPr="00C7635C" w:rsidRDefault="00135C4E" w:rsidP="008B65C7">
            <w:pPr>
              <w:rPr>
                <w:rFonts w:cs="Arial"/>
              </w:rPr>
            </w:pPr>
            <w:r>
              <w:rPr>
                <w:rFonts w:cs="Arial"/>
              </w:rPr>
              <w:t>Arcmont</w:t>
            </w:r>
          </w:p>
        </w:tc>
        <w:tc>
          <w:tcPr>
            <w:tcW w:w="2762" w:type="dxa"/>
            <w:shd w:val="clear" w:color="auto" w:fill="auto"/>
          </w:tcPr>
          <w:p w14:paraId="0DCBF38A" w14:textId="77777777" w:rsidR="000949F2" w:rsidRPr="00C7635C" w:rsidRDefault="000949F2" w:rsidP="00AD79A1">
            <w:pPr>
              <w:rPr>
                <w:rFonts w:cs="Arial"/>
              </w:rPr>
            </w:pPr>
            <w:r w:rsidRPr="00C7635C">
              <w:rPr>
                <w:rFonts w:cs="Arial"/>
              </w:rPr>
              <w:t>Private Debt</w:t>
            </w:r>
          </w:p>
        </w:tc>
        <w:tc>
          <w:tcPr>
            <w:tcW w:w="3898" w:type="dxa"/>
            <w:shd w:val="clear" w:color="auto" w:fill="auto"/>
          </w:tcPr>
          <w:p w14:paraId="644AB6FE" w14:textId="26059ACA" w:rsidR="000949F2" w:rsidRPr="00C7635C" w:rsidRDefault="000949F2">
            <w:pPr>
              <w:rPr>
                <w:rFonts w:cs="Arial"/>
              </w:rPr>
            </w:pPr>
            <w:r>
              <w:rPr>
                <w:rFonts w:cs="Arial"/>
              </w:rPr>
              <w:t>IRR of 7%</w:t>
            </w:r>
          </w:p>
          <w:p w14:paraId="215B2184" w14:textId="77777777" w:rsidR="000949F2" w:rsidRPr="00C7635C" w:rsidRDefault="000949F2">
            <w:pPr>
              <w:rPr>
                <w:rFonts w:cs="Arial"/>
              </w:rPr>
            </w:pPr>
          </w:p>
        </w:tc>
      </w:tr>
      <w:tr w:rsidR="000949F2" w:rsidRPr="00C7635C" w14:paraId="33D9D771" w14:textId="77777777" w:rsidTr="00556F66">
        <w:trPr>
          <w:cantSplit/>
        </w:trPr>
        <w:tc>
          <w:tcPr>
            <w:tcW w:w="2362" w:type="dxa"/>
            <w:shd w:val="clear" w:color="auto" w:fill="auto"/>
          </w:tcPr>
          <w:p w14:paraId="612C8D94" w14:textId="77777777" w:rsidR="000949F2" w:rsidRPr="00C7635C" w:rsidRDefault="000949F2" w:rsidP="008B65C7">
            <w:pPr>
              <w:rPr>
                <w:rFonts w:cs="Arial"/>
              </w:rPr>
            </w:pPr>
            <w:r w:rsidRPr="00C7635C">
              <w:rPr>
                <w:rFonts w:cs="Arial"/>
              </w:rPr>
              <w:t>Permira</w:t>
            </w:r>
          </w:p>
        </w:tc>
        <w:tc>
          <w:tcPr>
            <w:tcW w:w="2762" w:type="dxa"/>
            <w:shd w:val="clear" w:color="auto" w:fill="auto"/>
          </w:tcPr>
          <w:p w14:paraId="054040E9" w14:textId="77777777" w:rsidR="000949F2" w:rsidRPr="00C7635C" w:rsidRDefault="000949F2" w:rsidP="00AD79A1">
            <w:pPr>
              <w:rPr>
                <w:rFonts w:cs="Arial"/>
              </w:rPr>
            </w:pPr>
            <w:r w:rsidRPr="00C7635C">
              <w:rPr>
                <w:rFonts w:cs="Arial"/>
              </w:rPr>
              <w:t>Private Debt</w:t>
            </w:r>
          </w:p>
        </w:tc>
        <w:tc>
          <w:tcPr>
            <w:tcW w:w="3898" w:type="dxa"/>
            <w:shd w:val="clear" w:color="auto" w:fill="auto"/>
          </w:tcPr>
          <w:p w14:paraId="0D06CB77" w14:textId="662EA860" w:rsidR="000949F2" w:rsidRPr="00C7635C" w:rsidRDefault="000949F2">
            <w:pPr>
              <w:rPr>
                <w:rFonts w:cs="Arial"/>
              </w:rPr>
            </w:pPr>
            <w:r>
              <w:rPr>
                <w:rFonts w:cs="Arial"/>
              </w:rPr>
              <w:t>IRR of 8%</w:t>
            </w:r>
          </w:p>
          <w:p w14:paraId="58B85D22" w14:textId="77777777" w:rsidR="000949F2" w:rsidRPr="00C7635C" w:rsidRDefault="000949F2">
            <w:pPr>
              <w:rPr>
                <w:rFonts w:cs="Arial"/>
              </w:rPr>
            </w:pPr>
          </w:p>
        </w:tc>
      </w:tr>
      <w:tr w:rsidR="00D97458" w:rsidRPr="00C7635C" w14:paraId="0E4CC519" w14:textId="77777777" w:rsidTr="00556F66">
        <w:tc>
          <w:tcPr>
            <w:tcW w:w="2362" w:type="dxa"/>
            <w:shd w:val="clear" w:color="auto" w:fill="auto"/>
          </w:tcPr>
          <w:p w14:paraId="472AC7B7" w14:textId="77777777" w:rsidR="00D97458" w:rsidRPr="00C7635C" w:rsidRDefault="0011281E" w:rsidP="008B65C7">
            <w:pPr>
              <w:rPr>
                <w:rFonts w:cs="Arial"/>
              </w:rPr>
            </w:pPr>
            <w:r>
              <w:rPr>
                <w:rFonts w:cs="Arial"/>
              </w:rPr>
              <w:t>Border to Coast</w:t>
            </w:r>
          </w:p>
        </w:tc>
        <w:tc>
          <w:tcPr>
            <w:tcW w:w="2762" w:type="dxa"/>
            <w:shd w:val="clear" w:color="auto" w:fill="auto"/>
          </w:tcPr>
          <w:p w14:paraId="4F3CA420" w14:textId="77777777" w:rsidR="00D97458" w:rsidRPr="00C7635C" w:rsidRDefault="00D97458" w:rsidP="00AD79A1">
            <w:pPr>
              <w:rPr>
                <w:rFonts w:cs="Arial"/>
              </w:rPr>
            </w:pPr>
            <w:r>
              <w:rPr>
                <w:rFonts w:cs="Arial"/>
              </w:rPr>
              <w:t>Private Debt</w:t>
            </w:r>
          </w:p>
        </w:tc>
        <w:tc>
          <w:tcPr>
            <w:tcW w:w="3898" w:type="dxa"/>
            <w:shd w:val="clear" w:color="auto" w:fill="auto"/>
          </w:tcPr>
          <w:p w14:paraId="64714800" w14:textId="3CEB9C3B" w:rsidR="00D97458" w:rsidRDefault="00AE3005">
            <w:pPr>
              <w:rPr>
                <w:rFonts w:cs="Arial"/>
              </w:rPr>
            </w:pPr>
            <w:r>
              <w:rPr>
                <w:rFonts w:cs="Arial"/>
              </w:rPr>
              <w:t>IRR of 6%</w:t>
            </w:r>
          </w:p>
          <w:p w14:paraId="68E402D0" w14:textId="77777777" w:rsidR="001F6FE1" w:rsidRDefault="001F6FE1">
            <w:pPr>
              <w:rPr>
                <w:rFonts w:cs="Arial"/>
              </w:rPr>
            </w:pPr>
          </w:p>
        </w:tc>
      </w:tr>
      <w:tr w:rsidR="001F6FE1" w:rsidRPr="00C7635C" w14:paraId="3456A840" w14:textId="77777777" w:rsidTr="00556F66">
        <w:tc>
          <w:tcPr>
            <w:tcW w:w="2362" w:type="dxa"/>
            <w:shd w:val="clear" w:color="auto" w:fill="auto"/>
          </w:tcPr>
          <w:p w14:paraId="32321A43" w14:textId="77777777" w:rsidR="001F6FE1" w:rsidRPr="00C7635C" w:rsidRDefault="001F6FE1" w:rsidP="008B65C7">
            <w:pPr>
              <w:rPr>
                <w:rFonts w:cs="Arial"/>
              </w:rPr>
            </w:pPr>
            <w:r>
              <w:rPr>
                <w:rFonts w:cs="Arial"/>
              </w:rPr>
              <w:t>Border to Coast</w:t>
            </w:r>
          </w:p>
        </w:tc>
        <w:tc>
          <w:tcPr>
            <w:tcW w:w="2762" w:type="dxa"/>
            <w:shd w:val="clear" w:color="auto" w:fill="auto"/>
          </w:tcPr>
          <w:p w14:paraId="47264F6F" w14:textId="77777777" w:rsidR="001F6FE1" w:rsidRPr="00C7635C" w:rsidRDefault="001F6FE1" w:rsidP="00AD79A1">
            <w:pPr>
              <w:rPr>
                <w:rFonts w:cs="Arial"/>
              </w:rPr>
            </w:pPr>
            <w:r>
              <w:rPr>
                <w:rFonts w:cs="Arial"/>
              </w:rPr>
              <w:t>UK Corporate Bonds</w:t>
            </w:r>
          </w:p>
        </w:tc>
        <w:tc>
          <w:tcPr>
            <w:tcW w:w="3898" w:type="dxa"/>
            <w:shd w:val="clear" w:color="auto" w:fill="auto"/>
          </w:tcPr>
          <w:p w14:paraId="23C24006" w14:textId="77777777" w:rsidR="001F6FE1" w:rsidRDefault="001F6FE1">
            <w:pPr>
              <w:rPr>
                <w:rFonts w:cs="Arial"/>
              </w:rPr>
            </w:pPr>
            <w:r>
              <w:rPr>
                <w:rFonts w:cs="Arial"/>
              </w:rPr>
              <w:t>To outperform the iboxx Sterling Non-Gilts Index by 0.6% over the long term</w:t>
            </w:r>
          </w:p>
          <w:p w14:paraId="6E1EF2D4" w14:textId="77777777" w:rsidR="001F6FE1" w:rsidRPr="00C7635C" w:rsidRDefault="001F6FE1">
            <w:pPr>
              <w:rPr>
                <w:rFonts w:cs="Arial"/>
              </w:rPr>
            </w:pPr>
          </w:p>
        </w:tc>
      </w:tr>
      <w:tr w:rsidR="001F6FE1" w:rsidRPr="00C7635C" w14:paraId="7BA5616A" w14:textId="77777777" w:rsidTr="00556F66">
        <w:tc>
          <w:tcPr>
            <w:tcW w:w="2362" w:type="dxa"/>
            <w:shd w:val="clear" w:color="auto" w:fill="auto"/>
          </w:tcPr>
          <w:p w14:paraId="3F9AFC92" w14:textId="77777777" w:rsidR="001F6FE1" w:rsidRDefault="001F6FE1" w:rsidP="008B65C7">
            <w:pPr>
              <w:rPr>
                <w:rFonts w:cs="Arial"/>
              </w:rPr>
            </w:pPr>
            <w:r>
              <w:rPr>
                <w:rFonts w:cs="Arial"/>
              </w:rPr>
              <w:t>Border to Coast</w:t>
            </w:r>
          </w:p>
          <w:p w14:paraId="37D83233" w14:textId="77777777" w:rsidR="001F6FE1" w:rsidRPr="00C7635C" w:rsidRDefault="001F6FE1" w:rsidP="00AD79A1">
            <w:pPr>
              <w:rPr>
                <w:rFonts w:cs="Arial"/>
              </w:rPr>
            </w:pPr>
          </w:p>
        </w:tc>
        <w:tc>
          <w:tcPr>
            <w:tcW w:w="2762" w:type="dxa"/>
            <w:shd w:val="clear" w:color="auto" w:fill="auto"/>
          </w:tcPr>
          <w:p w14:paraId="7C0A9B1A" w14:textId="77777777" w:rsidR="001F6FE1" w:rsidRPr="00C7635C" w:rsidRDefault="00BE383B">
            <w:pPr>
              <w:rPr>
                <w:rFonts w:cs="Arial"/>
              </w:rPr>
            </w:pPr>
            <w:r>
              <w:rPr>
                <w:rFonts w:cs="Arial"/>
              </w:rPr>
              <w:t xml:space="preserve">UK </w:t>
            </w:r>
            <w:r w:rsidR="001F6FE1">
              <w:rPr>
                <w:rFonts w:cs="Arial"/>
              </w:rPr>
              <w:t>Government Bonds</w:t>
            </w:r>
          </w:p>
        </w:tc>
        <w:tc>
          <w:tcPr>
            <w:tcW w:w="3898" w:type="dxa"/>
            <w:shd w:val="clear" w:color="auto" w:fill="auto"/>
          </w:tcPr>
          <w:p w14:paraId="3DED26B6" w14:textId="77777777" w:rsidR="001F6FE1" w:rsidRDefault="001F6FE1">
            <w:pPr>
              <w:rPr>
                <w:rFonts w:cs="Arial"/>
              </w:rPr>
            </w:pPr>
            <w:r>
              <w:rPr>
                <w:rFonts w:cs="Arial"/>
              </w:rPr>
              <w:t>To outperform the FTSE UK Index Linked Gilts over 15 Years Index by 0.2% over the long term</w:t>
            </w:r>
          </w:p>
          <w:p w14:paraId="4DF2EE1B" w14:textId="77777777" w:rsidR="001F6FE1" w:rsidRPr="00C7635C" w:rsidRDefault="001F6FE1">
            <w:pPr>
              <w:rPr>
                <w:rFonts w:cs="Arial"/>
              </w:rPr>
            </w:pPr>
          </w:p>
        </w:tc>
      </w:tr>
      <w:tr w:rsidR="001F6FE1" w:rsidRPr="00C7635C" w14:paraId="7E5F0072" w14:textId="77777777" w:rsidTr="00556F66">
        <w:trPr>
          <w:cantSplit/>
          <w:trHeight w:val="704"/>
        </w:trPr>
        <w:tc>
          <w:tcPr>
            <w:tcW w:w="2362" w:type="dxa"/>
            <w:shd w:val="clear" w:color="auto" w:fill="auto"/>
          </w:tcPr>
          <w:p w14:paraId="31C2DF2F" w14:textId="0404BA12" w:rsidR="001F6FE1" w:rsidRDefault="001F6FE1" w:rsidP="00C52551">
            <w:pPr>
              <w:jc w:val="left"/>
              <w:rPr>
                <w:rFonts w:cs="Arial"/>
              </w:rPr>
            </w:pPr>
            <w:r>
              <w:rPr>
                <w:rFonts w:cs="Arial"/>
              </w:rPr>
              <w:lastRenderedPageBreak/>
              <w:t>NYC Treasury Management</w:t>
            </w:r>
          </w:p>
        </w:tc>
        <w:tc>
          <w:tcPr>
            <w:tcW w:w="2762" w:type="dxa"/>
            <w:shd w:val="clear" w:color="auto" w:fill="auto"/>
          </w:tcPr>
          <w:p w14:paraId="1BF8CEAA" w14:textId="77777777" w:rsidR="001F6FE1" w:rsidRDefault="001F6FE1" w:rsidP="00AD79A1">
            <w:pPr>
              <w:rPr>
                <w:rFonts w:cs="Arial"/>
              </w:rPr>
            </w:pPr>
            <w:r>
              <w:rPr>
                <w:rFonts w:cs="Arial"/>
              </w:rPr>
              <w:t>Cash</w:t>
            </w:r>
          </w:p>
        </w:tc>
        <w:tc>
          <w:tcPr>
            <w:tcW w:w="3898" w:type="dxa"/>
            <w:shd w:val="clear" w:color="auto" w:fill="auto"/>
          </w:tcPr>
          <w:p w14:paraId="331D1943" w14:textId="5354C665" w:rsidR="001F6FE1" w:rsidRDefault="001F6FE1">
            <w:pPr>
              <w:rPr>
                <w:rFonts w:cs="Arial"/>
              </w:rPr>
            </w:pPr>
            <w:r>
              <w:rPr>
                <w:rFonts w:cs="Arial"/>
              </w:rPr>
              <w:t>To outperform the Bank of England base rate</w:t>
            </w:r>
          </w:p>
        </w:tc>
      </w:tr>
      <w:tr w:rsidR="00135C4E" w:rsidRPr="00C7635C" w14:paraId="47C27F68" w14:textId="77777777" w:rsidTr="00556F66">
        <w:trPr>
          <w:cantSplit/>
          <w:trHeight w:val="704"/>
        </w:trPr>
        <w:tc>
          <w:tcPr>
            <w:tcW w:w="2362" w:type="dxa"/>
            <w:shd w:val="clear" w:color="auto" w:fill="auto"/>
          </w:tcPr>
          <w:p w14:paraId="59F8FFC6" w14:textId="3BC9E57F" w:rsidR="00135C4E" w:rsidRDefault="00135C4E" w:rsidP="008B65C7">
            <w:pPr>
              <w:rPr>
                <w:rFonts w:cs="Arial"/>
              </w:rPr>
            </w:pPr>
            <w:r>
              <w:rPr>
                <w:rFonts w:cs="Arial"/>
              </w:rPr>
              <w:t>Northern Trust</w:t>
            </w:r>
          </w:p>
        </w:tc>
        <w:tc>
          <w:tcPr>
            <w:tcW w:w="2762" w:type="dxa"/>
            <w:shd w:val="clear" w:color="auto" w:fill="auto"/>
          </w:tcPr>
          <w:p w14:paraId="407922B3" w14:textId="5B4B01F2" w:rsidR="00135C4E" w:rsidRDefault="00135C4E" w:rsidP="00AD79A1">
            <w:pPr>
              <w:rPr>
                <w:rFonts w:cs="Arial"/>
              </w:rPr>
            </w:pPr>
            <w:r>
              <w:rPr>
                <w:rFonts w:cs="Arial"/>
              </w:rPr>
              <w:t>Cash</w:t>
            </w:r>
          </w:p>
        </w:tc>
        <w:tc>
          <w:tcPr>
            <w:tcW w:w="3898" w:type="dxa"/>
            <w:shd w:val="clear" w:color="auto" w:fill="auto"/>
          </w:tcPr>
          <w:p w14:paraId="023509B8" w14:textId="07122639" w:rsidR="00135C4E" w:rsidRDefault="00135C4E">
            <w:pPr>
              <w:rPr>
                <w:rFonts w:cs="Arial"/>
              </w:rPr>
            </w:pPr>
            <w:r>
              <w:rPr>
                <w:rFonts w:cs="Arial"/>
              </w:rPr>
              <w:t>To outperform the Bank of England base rate</w:t>
            </w:r>
          </w:p>
        </w:tc>
      </w:tr>
    </w:tbl>
    <w:p w14:paraId="1DA0FED7" w14:textId="77777777" w:rsidR="00655DCD" w:rsidRDefault="00655DCD" w:rsidP="00AE331D">
      <w:pPr>
        <w:rPr>
          <w:rFonts w:cs="Arial"/>
        </w:rPr>
      </w:pPr>
    </w:p>
    <w:p w14:paraId="445D4776" w14:textId="17A6FF68" w:rsidR="0069266C" w:rsidRPr="00AE331D" w:rsidRDefault="00C25837" w:rsidP="00411DF5">
      <w:pPr>
        <w:pStyle w:val="ListParagraph"/>
        <w:ind w:left="142" w:hanging="568"/>
      </w:pPr>
      <w:r>
        <w:t xml:space="preserve">3.14 </w:t>
      </w:r>
      <w:r>
        <w:tab/>
      </w:r>
      <w:r w:rsidR="0037632E" w:rsidRPr="00FA783E">
        <w:t xml:space="preserve">Although there is not an allocation to cash in the strategy, there will inevitably be a small allocation </w:t>
      </w:r>
      <w:r w:rsidR="00BE383B" w:rsidRPr="00AE331D">
        <w:t xml:space="preserve">in practice, </w:t>
      </w:r>
      <w:r w:rsidR="0037632E" w:rsidRPr="00AE331D">
        <w:t>to satisfy the Fund’s cash flow management requirements.</w:t>
      </w:r>
    </w:p>
    <w:p w14:paraId="498B4D0A" w14:textId="77777777" w:rsidR="0037632E" w:rsidRPr="00AE331D" w:rsidRDefault="0037632E" w:rsidP="00C25837">
      <w:pPr>
        <w:pStyle w:val="ListParagraph"/>
        <w:ind w:left="-3" w:hanging="564"/>
      </w:pPr>
    </w:p>
    <w:p w14:paraId="001743F1" w14:textId="7CA0EE5A" w:rsidR="00AC6763" w:rsidRDefault="00C25837" w:rsidP="00411DF5">
      <w:pPr>
        <w:pStyle w:val="ListParagraph"/>
        <w:ind w:left="142" w:hanging="568"/>
      </w:pPr>
      <w:r>
        <w:t xml:space="preserve">3.15 </w:t>
      </w:r>
      <w:r>
        <w:tab/>
      </w:r>
      <w:r w:rsidR="00AC6763" w:rsidRPr="00AE331D">
        <w:t xml:space="preserve">The Fund is permitted to invest up to 5% in entities connected to the administering authority.  </w:t>
      </w:r>
      <w:r w:rsidR="00B76470" w:rsidRPr="00AE331D">
        <w:t>There are currently no such investments.</w:t>
      </w:r>
    </w:p>
    <w:p w14:paraId="179616B9" w14:textId="27053FFF" w:rsidR="00E86AF1" w:rsidRDefault="00706876" w:rsidP="0098411D">
      <w:pPr>
        <w:pStyle w:val="Heading1"/>
      </w:pPr>
      <w:bookmarkStart w:id="3" w:name="_Toc168642799"/>
      <w:r>
        <w:t xml:space="preserve">4.0 </w:t>
      </w:r>
      <w:r>
        <w:tab/>
      </w:r>
      <w:r w:rsidR="00556F66" w:rsidRPr="008A7CA6">
        <w:t>The suitability of particular investments and types of investments</w:t>
      </w:r>
      <w:bookmarkEnd w:id="3"/>
    </w:p>
    <w:p w14:paraId="73F26416" w14:textId="77777777" w:rsidR="0019774F" w:rsidRDefault="0019774F" w:rsidP="00AE331D">
      <w:pPr>
        <w:rPr>
          <w:rFonts w:cs="Arial"/>
        </w:rPr>
      </w:pPr>
    </w:p>
    <w:p w14:paraId="7555FD62" w14:textId="74EA0BAE" w:rsidR="00C55E15" w:rsidRDefault="00695A8D" w:rsidP="001D46E6">
      <w:pPr>
        <w:ind w:left="141" w:hanging="567"/>
      </w:pPr>
      <w:r>
        <w:t>4.1</w:t>
      </w:r>
      <w:r w:rsidR="00A5226F">
        <w:tab/>
      </w:r>
      <w:r w:rsidR="00BB204A">
        <w:t>The following categories of investment have been approved as suitable for the NYPF.</w:t>
      </w:r>
    </w:p>
    <w:p w14:paraId="7EE681A6" w14:textId="77777777" w:rsidR="00CE4C30" w:rsidRDefault="00CE4C30" w:rsidP="00AE331D">
      <w:pPr>
        <w:pStyle w:val="ListParagraph"/>
        <w:ind w:left="-3"/>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5"/>
      </w:tblGrid>
      <w:tr w:rsidR="00CE4C30" w14:paraId="478FE606" w14:textId="77777777" w:rsidTr="00AE331D">
        <w:tc>
          <w:tcPr>
            <w:tcW w:w="3402" w:type="dxa"/>
          </w:tcPr>
          <w:p w14:paraId="6C08B09E" w14:textId="5D78F7C5" w:rsidR="00CE4C30" w:rsidRDefault="00CE4C30" w:rsidP="00F54776">
            <w:pPr>
              <w:rPr>
                <w:rFonts w:cs="Arial"/>
                <w:b/>
              </w:rPr>
            </w:pPr>
          </w:p>
        </w:tc>
        <w:tc>
          <w:tcPr>
            <w:tcW w:w="5615" w:type="dxa"/>
          </w:tcPr>
          <w:p w14:paraId="734C0CB1" w14:textId="77777777" w:rsidR="00CE4C30" w:rsidRDefault="00CE4C30" w:rsidP="00F54776">
            <w:pPr>
              <w:rPr>
                <w:rFonts w:cs="Arial"/>
                <w:b/>
              </w:rPr>
            </w:pPr>
          </w:p>
        </w:tc>
      </w:tr>
      <w:tr w:rsidR="00CE4C30" w14:paraId="57B40B81" w14:textId="77777777" w:rsidTr="00AE331D">
        <w:trPr>
          <w:cantSplit/>
        </w:trPr>
        <w:tc>
          <w:tcPr>
            <w:tcW w:w="3402" w:type="dxa"/>
          </w:tcPr>
          <w:p w14:paraId="76785A9B" w14:textId="11C2A349" w:rsidR="00CE4C30" w:rsidRDefault="00D0556F" w:rsidP="00F54776">
            <w:pPr>
              <w:rPr>
                <w:rFonts w:cs="Arial"/>
                <w:b/>
              </w:rPr>
            </w:pPr>
            <w:r>
              <w:rPr>
                <w:b/>
              </w:rPr>
              <w:t>Global</w:t>
            </w:r>
            <w:r w:rsidR="00CE4C30" w:rsidRPr="003F09F9">
              <w:rPr>
                <w:b/>
              </w:rPr>
              <w:t xml:space="preserve"> Equities</w:t>
            </w:r>
          </w:p>
        </w:tc>
        <w:tc>
          <w:tcPr>
            <w:tcW w:w="5615" w:type="dxa"/>
          </w:tcPr>
          <w:p w14:paraId="0238D1C4" w14:textId="03F1405F" w:rsidR="00CE4C30" w:rsidRDefault="00D0556F" w:rsidP="00CE4C30">
            <w:r>
              <w:t>provide a share in the assets and profitability of public companies floated on stock exchanges around the world.  Capital gains and losses arise as share prices change to reflect investor expectations at the market, sector and stock levels.  Income is derived from dividends</w:t>
            </w:r>
            <w:r w:rsidR="00ED02D3">
              <w:t>.  Investing globally</w:t>
            </w:r>
            <w:r w:rsidR="00CE4C30">
              <w:t xml:space="preserve"> </w:t>
            </w:r>
            <w:r w:rsidR="00577B95">
              <w:t>enables</w:t>
            </w:r>
            <w:r w:rsidR="00CE4C30">
              <w:t xml:space="preserve"> diversification amongst markets, sectors and stocks.  Valuations are affected by exposure to movements in the relative value of foreign currencies in which investments are made against sterling.  Exchange rates are likely to reflect differentials in inflation so should not affect returns materially over the long term, but over the </w:t>
            </w:r>
            <w:r w:rsidR="007B79FE">
              <w:t>short-term</w:t>
            </w:r>
            <w:r w:rsidR="00CE4C30">
              <w:t xml:space="preserve"> currency movements may significantly add to or subtract from returns.  Equities are expected to provide high returns compared to other asset classes (the “equity-risk premium”).</w:t>
            </w:r>
          </w:p>
          <w:p w14:paraId="58D3FD94" w14:textId="77777777" w:rsidR="00CE4C30" w:rsidRDefault="00CE4C30" w:rsidP="00F54776">
            <w:pPr>
              <w:rPr>
                <w:rFonts w:cs="Arial"/>
                <w:b/>
              </w:rPr>
            </w:pPr>
          </w:p>
        </w:tc>
      </w:tr>
      <w:tr w:rsidR="00CE4C30" w14:paraId="48FC4DF6" w14:textId="77777777" w:rsidTr="00AE331D">
        <w:trPr>
          <w:cantSplit/>
        </w:trPr>
        <w:tc>
          <w:tcPr>
            <w:tcW w:w="3402" w:type="dxa"/>
          </w:tcPr>
          <w:p w14:paraId="312A448F" w14:textId="77777777" w:rsidR="00CE4C30" w:rsidRPr="003F09F9" w:rsidRDefault="00CE4C30" w:rsidP="00F54776">
            <w:pPr>
              <w:rPr>
                <w:b/>
              </w:rPr>
            </w:pPr>
            <w:r w:rsidRPr="003F09F9">
              <w:rPr>
                <w:b/>
              </w:rPr>
              <w:t>UK Bonds</w:t>
            </w:r>
          </w:p>
        </w:tc>
        <w:tc>
          <w:tcPr>
            <w:tcW w:w="5615" w:type="dxa"/>
          </w:tcPr>
          <w:p w14:paraId="3D94DC9E" w14:textId="77777777" w:rsidR="00CE4C30" w:rsidRDefault="00CE4C30" w:rsidP="00CE4C30">
            <w:r w:rsidRPr="003F09F9">
              <w:t>are debt instruments issue</w:t>
            </w:r>
            <w:r>
              <w:t>d</w:t>
            </w:r>
            <w:r w:rsidRPr="003F09F9">
              <w:t xml:space="preserve"> by the UK Government and other borrowers.</w:t>
            </w:r>
            <w:r>
              <w:t xml:space="preserve">  Bonds provide a fixed rate of interest and are usually redeemed at a fixed price on a known future date.  Valuations primarily reflect the fixed level of interest, the period to redemption and the overall return demanded by investors.  They are vulnerable to rising inflation and correspondingly benefit from falling inflation.</w:t>
            </w:r>
          </w:p>
          <w:p w14:paraId="12E07BDB" w14:textId="77777777" w:rsidR="00CE4C30" w:rsidRDefault="00CE4C30" w:rsidP="00CE4C30"/>
        </w:tc>
      </w:tr>
      <w:tr w:rsidR="00CE4C30" w14:paraId="022D7EB9" w14:textId="77777777" w:rsidTr="00AE331D">
        <w:trPr>
          <w:cantSplit/>
        </w:trPr>
        <w:tc>
          <w:tcPr>
            <w:tcW w:w="3402" w:type="dxa"/>
          </w:tcPr>
          <w:p w14:paraId="1247A233" w14:textId="77777777" w:rsidR="00CE4C30" w:rsidRPr="003F09F9" w:rsidRDefault="00CE4C30" w:rsidP="00F54776">
            <w:pPr>
              <w:rPr>
                <w:b/>
              </w:rPr>
            </w:pPr>
            <w:r>
              <w:rPr>
                <w:b/>
              </w:rPr>
              <w:t>Index Linked Bonds</w:t>
            </w:r>
          </w:p>
        </w:tc>
        <w:tc>
          <w:tcPr>
            <w:tcW w:w="5615" w:type="dxa"/>
          </w:tcPr>
          <w:p w14:paraId="61262B1C" w14:textId="6EF6C0DA" w:rsidR="00CE4C30" w:rsidRDefault="00CE4C30" w:rsidP="00CE4C30">
            <w:pPr>
              <w:rPr>
                <w:rFonts w:cs="Arial"/>
              </w:rPr>
            </w:pPr>
            <w:r w:rsidRPr="003F09F9">
              <w:rPr>
                <w:rFonts w:cs="Arial"/>
              </w:rPr>
              <w:t>are bonds</w:t>
            </w:r>
            <w:r>
              <w:rPr>
                <w:rFonts w:cs="Arial"/>
              </w:rPr>
              <w:t xml:space="preserve"> that</w:t>
            </w:r>
            <w:r w:rsidRPr="003F09F9">
              <w:rPr>
                <w:rFonts w:cs="Arial"/>
              </w:rPr>
              <w:t xml:space="preserve"> provide </w:t>
            </w:r>
            <w:r w:rsidR="003B1AF1" w:rsidRPr="003F09F9">
              <w:rPr>
                <w:rFonts w:cs="Arial"/>
              </w:rPr>
              <w:t>interest,</w:t>
            </w:r>
            <w:r w:rsidRPr="003F09F9">
              <w:rPr>
                <w:rFonts w:cs="Arial"/>
              </w:rPr>
              <w:t xml:space="preserve"> and </w:t>
            </w:r>
            <w:r>
              <w:rPr>
                <w:rFonts w:cs="Arial"/>
              </w:rPr>
              <w:t xml:space="preserve">a </w:t>
            </w:r>
            <w:r w:rsidRPr="003F09F9">
              <w:rPr>
                <w:rFonts w:cs="Arial"/>
              </w:rPr>
              <w:t>redemption value directly linked to a measure of inflation, usually the Retail Price Index</w:t>
            </w:r>
            <w:r>
              <w:rPr>
                <w:rFonts w:cs="Arial"/>
              </w:rPr>
              <w:t xml:space="preserve"> or a similar</w:t>
            </w:r>
            <w:r w:rsidRPr="00F9068C">
              <w:rPr>
                <w:rFonts w:cs="Arial"/>
              </w:rPr>
              <w:t xml:space="preserve"> </w:t>
            </w:r>
            <w:r>
              <w:rPr>
                <w:rFonts w:cs="Arial"/>
              </w:rPr>
              <w:t>i</w:t>
            </w:r>
            <w:r w:rsidRPr="003F09F9">
              <w:rPr>
                <w:rFonts w:cs="Arial"/>
              </w:rPr>
              <w:t xml:space="preserve">ndex. </w:t>
            </w:r>
            <w:r>
              <w:rPr>
                <w:rFonts w:cs="Arial"/>
              </w:rPr>
              <w:t xml:space="preserve"> The returns from this asset class</w:t>
            </w:r>
            <w:r w:rsidRPr="003F09F9">
              <w:rPr>
                <w:rFonts w:cs="Arial"/>
              </w:rPr>
              <w:t xml:space="preserve"> </w:t>
            </w:r>
            <w:r>
              <w:rPr>
                <w:rFonts w:cs="Arial"/>
              </w:rPr>
              <w:t>act as a useful proxy for movements in liability values</w:t>
            </w:r>
            <w:r w:rsidRPr="003F09F9">
              <w:rPr>
                <w:rFonts w:cs="Arial"/>
              </w:rPr>
              <w:t>.</w:t>
            </w:r>
          </w:p>
          <w:p w14:paraId="1050ADF0" w14:textId="77777777" w:rsidR="00CE4C30" w:rsidRPr="003F09F9" w:rsidRDefault="00CE4C30" w:rsidP="00CE4C30"/>
        </w:tc>
      </w:tr>
      <w:tr w:rsidR="00CE4C30" w14:paraId="3FB1246E" w14:textId="77777777" w:rsidTr="00AE331D">
        <w:trPr>
          <w:cantSplit/>
        </w:trPr>
        <w:tc>
          <w:tcPr>
            <w:tcW w:w="3402" w:type="dxa"/>
          </w:tcPr>
          <w:p w14:paraId="26632AF8" w14:textId="77777777" w:rsidR="00CE4C30" w:rsidRDefault="00CE4C30" w:rsidP="00F54776">
            <w:pPr>
              <w:rPr>
                <w:b/>
              </w:rPr>
            </w:pPr>
            <w:r w:rsidRPr="00C33E07">
              <w:rPr>
                <w:rFonts w:cs="Arial"/>
                <w:b/>
              </w:rPr>
              <w:t>Multi-Asset Credit</w:t>
            </w:r>
          </w:p>
        </w:tc>
        <w:tc>
          <w:tcPr>
            <w:tcW w:w="5615" w:type="dxa"/>
          </w:tcPr>
          <w:p w14:paraId="45742292" w14:textId="56524E0A" w:rsidR="00CE4C30" w:rsidRDefault="00CE4C30" w:rsidP="00CE4C30">
            <w:pPr>
              <w:rPr>
                <w:rFonts w:cs="Arial"/>
              </w:rPr>
            </w:pPr>
            <w:r w:rsidRPr="00C73F17">
              <w:rPr>
                <w:rFonts w:cs="Arial"/>
              </w:rPr>
              <w:t>Multi-Asset Credit strategies offer investors exposure to a diverse range of credit premia</w:t>
            </w:r>
            <w:r>
              <w:rPr>
                <w:rFonts w:cs="Arial"/>
              </w:rPr>
              <w:t xml:space="preserve">, </w:t>
            </w:r>
            <w:r w:rsidRPr="00A16DF5">
              <w:rPr>
                <w:rFonts w:cs="Arial"/>
              </w:rPr>
              <w:t xml:space="preserve">by investing </w:t>
            </w:r>
            <w:r>
              <w:rPr>
                <w:rFonts w:cs="Arial"/>
              </w:rPr>
              <w:t>across</w:t>
            </w:r>
            <w:r w:rsidRPr="00A16DF5">
              <w:rPr>
                <w:rFonts w:cs="Arial"/>
              </w:rPr>
              <w:t xml:space="preserve"> a range of geographies, asset classes and credit instruments</w:t>
            </w:r>
            <w:r>
              <w:rPr>
                <w:rFonts w:cs="Arial"/>
              </w:rPr>
              <w:t>,</w:t>
            </w:r>
            <w:r w:rsidRPr="00C73F17">
              <w:rPr>
                <w:rFonts w:cs="Arial"/>
              </w:rPr>
              <w:t xml:space="preserve"> </w:t>
            </w:r>
            <w:r w:rsidR="003B1AF1" w:rsidRPr="00C73F17">
              <w:rPr>
                <w:rFonts w:cs="Arial"/>
              </w:rPr>
              <w:t>to</w:t>
            </w:r>
            <w:r w:rsidRPr="00C73F17">
              <w:rPr>
                <w:rFonts w:cs="Arial"/>
              </w:rPr>
              <w:t xml:space="preserve"> protect against rising interest rates and c</w:t>
            </w:r>
            <w:r>
              <w:rPr>
                <w:rFonts w:cs="Arial"/>
              </w:rPr>
              <w:t>hanges in the credit cycle. These funds</w:t>
            </w:r>
            <w:r w:rsidRPr="00C73F17">
              <w:rPr>
                <w:rFonts w:cs="Arial"/>
              </w:rPr>
              <w:t xml:space="preserve"> are well positioned to complement a traditional fixed income </w:t>
            </w:r>
            <w:r w:rsidR="003B1AF1" w:rsidRPr="00C73F17">
              <w:rPr>
                <w:rFonts w:cs="Arial"/>
              </w:rPr>
              <w:t>allocation and</w:t>
            </w:r>
            <w:r w:rsidRPr="00C73F17">
              <w:rPr>
                <w:rFonts w:cs="Arial"/>
              </w:rPr>
              <w:t xml:space="preserve"> provide portfolio diversification whilst de-risking from equities</w:t>
            </w:r>
            <w:r>
              <w:rPr>
                <w:rFonts w:cs="Arial"/>
              </w:rPr>
              <w:t>.</w:t>
            </w:r>
            <w:r w:rsidRPr="00A16DF5">
              <w:t xml:space="preserve"> </w:t>
            </w:r>
          </w:p>
          <w:p w14:paraId="135F078B" w14:textId="77777777" w:rsidR="00CE4C30" w:rsidRPr="003F09F9" w:rsidRDefault="00CE4C30" w:rsidP="00CE4C30">
            <w:pPr>
              <w:rPr>
                <w:rFonts w:cs="Arial"/>
              </w:rPr>
            </w:pPr>
          </w:p>
        </w:tc>
      </w:tr>
      <w:tr w:rsidR="00CE4C30" w14:paraId="5728C96F" w14:textId="77777777" w:rsidTr="00AE331D">
        <w:trPr>
          <w:cantSplit/>
        </w:trPr>
        <w:tc>
          <w:tcPr>
            <w:tcW w:w="3402" w:type="dxa"/>
          </w:tcPr>
          <w:p w14:paraId="618D2698" w14:textId="77777777" w:rsidR="00CE4C30" w:rsidRPr="00B039FB" w:rsidRDefault="00CE4C30" w:rsidP="00F54776">
            <w:pPr>
              <w:rPr>
                <w:rFonts w:cs="Arial"/>
                <w:b/>
              </w:rPr>
            </w:pPr>
            <w:r>
              <w:rPr>
                <w:b/>
              </w:rPr>
              <w:lastRenderedPageBreak/>
              <w:t>UK Property</w:t>
            </w:r>
          </w:p>
        </w:tc>
        <w:tc>
          <w:tcPr>
            <w:tcW w:w="5615" w:type="dxa"/>
          </w:tcPr>
          <w:p w14:paraId="7F0E8070" w14:textId="77777777" w:rsidR="00CE4C30" w:rsidRDefault="00CE4C30" w:rsidP="00CE4C30">
            <w:pPr>
              <w:rPr>
                <w:rFonts w:cs="Arial"/>
              </w:rPr>
            </w:pPr>
            <w:r w:rsidRPr="00FA0731">
              <w:rPr>
                <w:rFonts w:cs="Arial"/>
              </w:rPr>
              <w:t xml:space="preserve">is </w:t>
            </w:r>
            <w:r>
              <w:rPr>
                <w:rFonts w:cs="Arial"/>
              </w:rPr>
              <w:t xml:space="preserve">an </w:t>
            </w:r>
            <w:r w:rsidRPr="00FA0731">
              <w:rPr>
                <w:rFonts w:cs="Arial"/>
              </w:rPr>
              <w:t>investment in buildings</w:t>
            </w:r>
            <w:r>
              <w:rPr>
                <w:rFonts w:cs="Arial"/>
              </w:rPr>
              <w:t>,</w:t>
            </w:r>
            <w:r w:rsidRPr="00FA0731">
              <w:rPr>
                <w:rFonts w:cs="Arial"/>
              </w:rPr>
              <w:t xml:space="preserve"> indirectly through pooled vehicle</w:t>
            </w:r>
            <w:r>
              <w:rPr>
                <w:rFonts w:cs="Arial"/>
              </w:rPr>
              <w:t>s</w:t>
            </w:r>
            <w:r w:rsidRPr="00FA0731">
              <w:rPr>
                <w:rFonts w:cs="Arial"/>
              </w:rPr>
              <w:t xml:space="preserve">. </w:t>
            </w:r>
            <w:r>
              <w:rPr>
                <w:rFonts w:cs="Arial"/>
              </w:rPr>
              <w:t xml:space="preserve"> C</w:t>
            </w:r>
            <w:r w:rsidRPr="00FA0731">
              <w:rPr>
                <w:rFonts w:cs="Arial"/>
              </w:rPr>
              <w:t xml:space="preserve">apital gains and losses </w:t>
            </w:r>
            <w:r>
              <w:rPr>
                <w:rFonts w:cs="Arial"/>
              </w:rPr>
              <w:t xml:space="preserve">occur </w:t>
            </w:r>
            <w:r w:rsidRPr="00FA0731">
              <w:rPr>
                <w:rFonts w:cs="Arial"/>
              </w:rPr>
              <w:t xml:space="preserve">as prices fluctuate in line with rental levels and investor demand. </w:t>
            </w:r>
            <w:r>
              <w:rPr>
                <w:rFonts w:cs="Arial"/>
              </w:rPr>
              <w:t xml:space="preserve"> </w:t>
            </w:r>
            <w:r w:rsidRPr="00FA0731">
              <w:rPr>
                <w:rFonts w:cs="Arial"/>
              </w:rPr>
              <w:t xml:space="preserve">Income </w:t>
            </w:r>
            <w:r>
              <w:rPr>
                <w:rFonts w:cs="Arial"/>
              </w:rPr>
              <w:t>is generated</w:t>
            </w:r>
            <w:r w:rsidRPr="00FA0731">
              <w:rPr>
                <w:rFonts w:cs="Arial"/>
              </w:rPr>
              <w:t xml:space="preserve"> from rents collected from tenants. </w:t>
            </w:r>
            <w:r>
              <w:rPr>
                <w:rFonts w:cs="Arial"/>
              </w:rPr>
              <w:t xml:space="preserve"> </w:t>
            </w:r>
            <w:r w:rsidRPr="00FA0731">
              <w:rPr>
                <w:rFonts w:cs="Arial"/>
              </w:rPr>
              <w:t>The nature of rental agreements give</w:t>
            </w:r>
            <w:r>
              <w:rPr>
                <w:rFonts w:cs="Arial"/>
              </w:rPr>
              <w:t>s</w:t>
            </w:r>
            <w:r w:rsidRPr="00FA0731">
              <w:rPr>
                <w:rFonts w:cs="Arial"/>
              </w:rPr>
              <w:t xml:space="preserve"> property some of the characteristics of bonds, whilst growth and inflation </w:t>
            </w:r>
            <w:r>
              <w:rPr>
                <w:rFonts w:cs="Arial"/>
              </w:rPr>
              <w:t>provide</w:t>
            </w:r>
            <w:r w:rsidRPr="00FA0731">
              <w:rPr>
                <w:rFonts w:cs="Arial"/>
              </w:rPr>
              <w:t xml:space="preserve"> some of the characteristics of equities. It is, therefore, a useful diversifying asset class.</w:t>
            </w:r>
          </w:p>
          <w:p w14:paraId="6A62461D" w14:textId="77777777" w:rsidR="00CE4C30" w:rsidRPr="00B039FB" w:rsidRDefault="00CE4C30" w:rsidP="00CE4C30">
            <w:pPr>
              <w:rPr>
                <w:rFonts w:cs="Arial"/>
              </w:rPr>
            </w:pPr>
          </w:p>
        </w:tc>
      </w:tr>
      <w:tr w:rsidR="00CE4C30" w14:paraId="0D52E349" w14:textId="77777777" w:rsidTr="00AE331D">
        <w:trPr>
          <w:cantSplit/>
        </w:trPr>
        <w:tc>
          <w:tcPr>
            <w:tcW w:w="3402" w:type="dxa"/>
          </w:tcPr>
          <w:p w14:paraId="52C48DAD" w14:textId="77777777" w:rsidR="00CE4C30" w:rsidRDefault="00CE4C30" w:rsidP="00F54776">
            <w:pPr>
              <w:rPr>
                <w:b/>
              </w:rPr>
            </w:pPr>
            <w:r>
              <w:rPr>
                <w:rFonts w:cs="Arial"/>
                <w:b/>
              </w:rPr>
              <w:t>Infrastructure</w:t>
            </w:r>
          </w:p>
        </w:tc>
        <w:tc>
          <w:tcPr>
            <w:tcW w:w="5615" w:type="dxa"/>
          </w:tcPr>
          <w:p w14:paraId="597C0455" w14:textId="77777777" w:rsidR="00CE4C30" w:rsidRPr="001C515B" w:rsidRDefault="00CE4C30" w:rsidP="00CE4C30">
            <w:pPr>
              <w:rPr>
                <w:rFonts w:cs="Arial"/>
              </w:rPr>
            </w:pPr>
            <w:r>
              <w:rPr>
                <w:rFonts w:cs="Arial"/>
              </w:rPr>
              <w:t>is a term for real assets which provide essential services to a community for example transport facilities, telecommunications networks and water supplies. These are long term, illiquid investments that should provide stable returns that in some cases are inflation linked and largely uncorrelated to equities, making it a diversifying asset class.</w:t>
            </w:r>
          </w:p>
          <w:p w14:paraId="05BF0C98" w14:textId="77777777" w:rsidR="00CE4C30" w:rsidRPr="00FA0731" w:rsidRDefault="00CE4C30" w:rsidP="00CE4C30">
            <w:pPr>
              <w:rPr>
                <w:rFonts w:cs="Arial"/>
              </w:rPr>
            </w:pPr>
          </w:p>
        </w:tc>
      </w:tr>
      <w:tr w:rsidR="00CE4C30" w14:paraId="0E248A03" w14:textId="77777777" w:rsidTr="00AE331D">
        <w:trPr>
          <w:cantSplit/>
        </w:trPr>
        <w:tc>
          <w:tcPr>
            <w:tcW w:w="3402" w:type="dxa"/>
          </w:tcPr>
          <w:p w14:paraId="3FE6269C" w14:textId="77777777" w:rsidR="00CE4C30" w:rsidRDefault="00CE4C30" w:rsidP="00F54776">
            <w:pPr>
              <w:rPr>
                <w:rFonts w:cs="Arial"/>
                <w:b/>
              </w:rPr>
            </w:pPr>
            <w:r w:rsidRPr="00BB204A">
              <w:rPr>
                <w:rFonts w:cs="Arial"/>
                <w:b/>
              </w:rPr>
              <w:t>Private Debt</w:t>
            </w:r>
          </w:p>
        </w:tc>
        <w:tc>
          <w:tcPr>
            <w:tcW w:w="5615" w:type="dxa"/>
          </w:tcPr>
          <w:p w14:paraId="7B640642" w14:textId="5D758F66" w:rsidR="00CE4C30" w:rsidRDefault="00CE4C30" w:rsidP="00CE4C30">
            <w:pPr>
              <w:rPr>
                <w:rFonts w:cs="Arial"/>
                <w:b/>
              </w:rPr>
            </w:pPr>
            <w:r>
              <w:rPr>
                <w:rFonts w:cs="Arial"/>
              </w:rPr>
              <w:t xml:space="preserve">is loan arrangements provided directly to companies over the </w:t>
            </w:r>
            <w:r w:rsidRPr="00511C04">
              <w:rPr>
                <w:rFonts w:cs="Arial"/>
              </w:rPr>
              <w:t xml:space="preserve">medium term for </w:t>
            </w:r>
            <w:r w:rsidRPr="00AD4565">
              <w:rPr>
                <w:rFonts w:cs="Arial"/>
              </w:rPr>
              <w:t xml:space="preserve">a </w:t>
            </w:r>
            <w:r w:rsidRPr="00511C04">
              <w:rPr>
                <w:rFonts w:cs="Arial"/>
              </w:rPr>
              <w:t>return</w:t>
            </w:r>
            <w:r>
              <w:rPr>
                <w:rFonts w:cs="Arial"/>
              </w:rPr>
              <w:t xml:space="preserve">, significantly above rates charged by commercial banks.  </w:t>
            </w:r>
            <w:r w:rsidR="003B1AF1">
              <w:rPr>
                <w:rFonts w:cs="Arial"/>
              </w:rPr>
              <w:t>Typically,</w:t>
            </w:r>
            <w:r>
              <w:rPr>
                <w:rFonts w:cs="Arial"/>
              </w:rPr>
              <w:t xml:space="preserve"> they are provided through pooled fund arrangements and require that investors commit funds for a period of 5 to 7 years, with income and capital being returned throughout that time.</w:t>
            </w:r>
          </w:p>
          <w:p w14:paraId="47511F24" w14:textId="77777777" w:rsidR="00CE4C30" w:rsidRDefault="00CE4C30" w:rsidP="00CE4C30">
            <w:pPr>
              <w:rPr>
                <w:rFonts w:cs="Arial"/>
              </w:rPr>
            </w:pPr>
          </w:p>
        </w:tc>
      </w:tr>
      <w:tr w:rsidR="00CE4C30" w14:paraId="6322C867" w14:textId="77777777" w:rsidTr="00AE331D">
        <w:trPr>
          <w:cantSplit/>
        </w:trPr>
        <w:tc>
          <w:tcPr>
            <w:tcW w:w="3402" w:type="dxa"/>
          </w:tcPr>
          <w:p w14:paraId="2ACF5814" w14:textId="77777777" w:rsidR="00CE4C30" w:rsidRPr="00BB204A" w:rsidRDefault="00CE4C30" w:rsidP="00F54776">
            <w:pPr>
              <w:rPr>
                <w:rFonts w:cs="Arial"/>
                <w:b/>
              </w:rPr>
            </w:pPr>
            <w:r>
              <w:rPr>
                <w:rFonts w:cs="Arial"/>
                <w:b/>
              </w:rPr>
              <w:t>Listed Alternatives</w:t>
            </w:r>
          </w:p>
        </w:tc>
        <w:tc>
          <w:tcPr>
            <w:tcW w:w="5615" w:type="dxa"/>
          </w:tcPr>
          <w:p w14:paraId="1F463317" w14:textId="1B60A381" w:rsidR="00CE4C30" w:rsidRDefault="00CE4C30" w:rsidP="00CE4C30">
            <w:pPr>
              <w:rPr>
                <w:rFonts w:cs="Arial"/>
              </w:rPr>
            </w:pPr>
            <w:r w:rsidRPr="00011BF3">
              <w:rPr>
                <w:rFonts w:cs="Arial"/>
              </w:rPr>
              <w:t xml:space="preserve">is an approach to investing in </w:t>
            </w:r>
            <w:r>
              <w:rPr>
                <w:rFonts w:cs="Arial"/>
              </w:rPr>
              <w:t xml:space="preserve">infrastructure, private debt and other </w:t>
            </w:r>
            <w:r w:rsidRPr="00011BF3">
              <w:rPr>
                <w:rFonts w:cs="Arial"/>
              </w:rPr>
              <w:t>alternatives through UK and overseas stock exchanges.</w:t>
            </w:r>
            <w:r>
              <w:rPr>
                <w:rFonts w:cs="Arial"/>
              </w:rPr>
              <w:t xml:space="preserve">  The risk and return characteristics are therefore a blend of equities and alternatives.  Temporarily investing in this asset class enables exposure to alternatives to be quickly established in lieu of an allocation to private markets, which will be built up over </w:t>
            </w:r>
            <w:r w:rsidR="003B1AF1">
              <w:rPr>
                <w:rFonts w:cs="Arial"/>
              </w:rPr>
              <w:t>several</w:t>
            </w:r>
            <w:r>
              <w:rPr>
                <w:rFonts w:cs="Arial"/>
              </w:rPr>
              <w:t xml:space="preserve"> years. </w:t>
            </w:r>
          </w:p>
        </w:tc>
      </w:tr>
      <w:tr w:rsidR="00CE4C30" w14:paraId="0782B363" w14:textId="77777777" w:rsidTr="00374E9D">
        <w:trPr>
          <w:cantSplit/>
          <w:trHeight w:val="1770"/>
        </w:trPr>
        <w:tc>
          <w:tcPr>
            <w:tcW w:w="3402" w:type="dxa"/>
          </w:tcPr>
          <w:p w14:paraId="401E2A6C" w14:textId="77777777" w:rsidR="00CE4C30" w:rsidRDefault="007E2871" w:rsidP="00F54776">
            <w:pPr>
              <w:rPr>
                <w:rFonts w:cs="Arial"/>
                <w:b/>
              </w:rPr>
            </w:pPr>
            <w:r>
              <w:rPr>
                <w:rFonts w:cs="Arial"/>
                <w:b/>
              </w:rPr>
              <w:t>Climate Opportunities</w:t>
            </w:r>
          </w:p>
          <w:p w14:paraId="36D0E781" w14:textId="77777777" w:rsidR="002C2985" w:rsidRPr="009527E8" w:rsidRDefault="002C2985" w:rsidP="002C2985">
            <w:pPr>
              <w:rPr>
                <w:rFonts w:cs="Arial"/>
                <w:b/>
              </w:rPr>
            </w:pPr>
          </w:p>
          <w:p w14:paraId="5BC98E37" w14:textId="77777777" w:rsidR="002C2985" w:rsidRPr="009527E8" w:rsidRDefault="002C2985" w:rsidP="002C2985">
            <w:pPr>
              <w:rPr>
                <w:rFonts w:cs="Arial"/>
                <w:b/>
              </w:rPr>
            </w:pPr>
          </w:p>
          <w:p w14:paraId="65479818" w14:textId="77777777" w:rsidR="002C2985" w:rsidRPr="009527E8" w:rsidRDefault="002C2985" w:rsidP="002C2985">
            <w:pPr>
              <w:rPr>
                <w:rFonts w:cs="Arial"/>
                <w:b/>
              </w:rPr>
            </w:pPr>
          </w:p>
          <w:p w14:paraId="2F0201BC" w14:textId="77777777" w:rsidR="002C2985" w:rsidRPr="009527E8" w:rsidRDefault="002C2985" w:rsidP="002C2985">
            <w:pPr>
              <w:rPr>
                <w:rFonts w:cs="Arial"/>
                <w:b/>
              </w:rPr>
            </w:pPr>
          </w:p>
          <w:p w14:paraId="31BA0C90" w14:textId="77777777" w:rsidR="002C2985" w:rsidRPr="009527E8" w:rsidRDefault="002C2985" w:rsidP="002C2985">
            <w:pPr>
              <w:rPr>
                <w:rFonts w:cs="Arial"/>
                <w:b/>
              </w:rPr>
            </w:pPr>
          </w:p>
          <w:p w14:paraId="486F0975" w14:textId="4469F370" w:rsidR="002C2985" w:rsidRPr="00A64410" w:rsidRDefault="002C2985" w:rsidP="002C2985">
            <w:pPr>
              <w:rPr>
                <w:rFonts w:cs="Arial"/>
                <w:b/>
                <w:bCs/>
              </w:rPr>
            </w:pPr>
          </w:p>
        </w:tc>
        <w:tc>
          <w:tcPr>
            <w:tcW w:w="5615" w:type="dxa"/>
          </w:tcPr>
          <w:p w14:paraId="66CAB8E0" w14:textId="151D7497" w:rsidR="00CE4C30" w:rsidRDefault="00BA57B9" w:rsidP="00CE4C30">
            <w:pPr>
              <w:rPr>
                <w:rFonts w:cs="Arial"/>
              </w:rPr>
            </w:pPr>
            <w:r>
              <w:rPr>
                <w:rFonts w:cs="Arial"/>
              </w:rPr>
              <w:t xml:space="preserve">is an investment which aims to have a positive impact on climate change and supporting long-term net zero carbon emissions goals.  </w:t>
            </w:r>
            <w:r w:rsidR="00EB267D">
              <w:rPr>
                <w:rFonts w:cs="Arial"/>
              </w:rPr>
              <w:t>It is comprised of investments in private equity, infrastructure and private credit.  The themes are clean energy, transport, agriculture, technology, industry and sequestration.</w:t>
            </w:r>
          </w:p>
          <w:p w14:paraId="0A234E62" w14:textId="77777777" w:rsidR="00CE4C30" w:rsidRPr="009527E8" w:rsidRDefault="00CE4C30" w:rsidP="00CE4C30">
            <w:pPr>
              <w:rPr>
                <w:rFonts w:cs="Arial"/>
                <w:b/>
              </w:rPr>
            </w:pPr>
          </w:p>
        </w:tc>
      </w:tr>
      <w:tr w:rsidR="00120548" w14:paraId="7BAEC3CD" w14:textId="77777777" w:rsidTr="00374E9D">
        <w:trPr>
          <w:cantSplit/>
          <w:trHeight w:val="2505"/>
        </w:trPr>
        <w:tc>
          <w:tcPr>
            <w:tcW w:w="3402" w:type="dxa"/>
          </w:tcPr>
          <w:p w14:paraId="6A643FF9" w14:textId="77777777" w:rsidR="00120548" w:rsidRDefault="00120548" w:rsidP="00120548">
            <w:pPr>
              <w:rPr>
                <w:rFonts w:cs="Arial"/>
                <w:b/>
              </w:rPr>
            </w:pPr>
            <w:r w:rsidRPr="009527E8">
              <w:rPr>
                <w:rFonts w:cs="Arial"/>
                <w:b/>
              </w:rPr>
              <w:t>UK Opportunities</w:t>
            </w:r>
          </w:p>
        </w:tc>
        <w:tc>
          <w:tcPr>
            <w:tcW w:w="5615" w:type="dxa"/>
          </w:tcPr>
          <w:p w14:paraId="672A26A8" w14:textId="77777777" w:rsidR="00120548" w:rsidRPr="009527E8" w:rsidRDefault="00120548" w:rsidP="00120548">
            <w:pPr>
              <w:rPr>
                <w:rFonts w:cs="Arial"/>
                <w:bCs/>
              </w:rPr>
            </w:pPr>
            <w:r w:rsidRPr="009527E8">
              <w:rPr>
                <w:rFonts w:cs="Arial"/>
                <w:bCs/>
              </w:rPr>
              <w:t>seeks to deliver high-quality investment opportunities expected to have a positive economic impact.  Investments include new build housing, commercial properties and regeneration projects; renewable energy development and supporting grid infrastructure; and finance for early stage and growth companies in the UK.  As well as offering attractive returns, investments are also expected to add value to the local and wider UK economy.</w:t>
            </w:r>
          </w:p>
          <w:p w14:paraId="22F7135E" w14:textId="77777777" w:rsidR="00120548" w:rsidRPr="009527E8" w:rsidRDefault="00120548" w:rsidP="00A5226F">
            <w:pPr>
              <w:rPr>
                <w:rFonts w:cs="Arial"/>
                <w:bCs/>
              </w:rPr>
            </w:pPr>
          </w:p>
        </w:tc>
      </w:tr>
      <w:tr w:rsidR="00CE4C30" w14:paraId="6F4483FB" w14:textId="77777777" w:rsidTr="00AE331D">
        <w:trPr>
          <w:cantSplit/>
        </w:trPr>
        <w:tc>
          <w:tcPr>
            <w:tcW w:w="3402" w:type="dxa"/>
          </w:tcPr>
          <w:p w14:paraId="3C288FC4" w14:textId="77777777" w:rsidR="00CE4C30" w:rsidRPr="00AD4565" w:rsidRDefault="00CE4C30" w:rsidP="00F54776">
            <w:pPr>
              <w:rPr>
                <w:rFonts w:cs="Arial"/>
                <w:b/>
              </w:rPr>
            </w:pPr>
            <w:r w:rsidRPr="00925FE3">
              <w:rPr>
                <w:b/>
              </w:rPr>
              <w:t>Derivative Instruments</w:t>
            </w:r>
          </w:p>
        </w:tc>
        <w:tc>
          <w:tcPr>
            <w:tcW w:w="5615" w:type="dxa"/>
          </w:tcPr>
          <w:p w14:paraId="7B2031E2" w14:textId="07985304" w:rsidR="00CE4C30" w:rsidRDefault="00CE4C30" w:rsidP="00CE4C30">
            <w:pPr>
              <w:rPr>
                <w:rFonts w:cs="Arial"/>
              </w:rPr>
            </w:pPr>
            <w:r w:rsidRPr="00925FE3">
              <w:rPr>
                <w:rFonts w:cs="Arial"/>
              </w:rPr>
              <w:t xml:space="preserve">such as </w:t>
            </w:r>
            <w:r>
              <w:rPr>
                <w:rFonts w:cs="Arial"/>
              </w:rPr>
              <w:t>options and futures</w:t>
            </w:r>
            <w:r w:rsidRPr="00925FE3">
              <w:rPr>
                <w:rFonts w:cs="Arial"/>
              </w:rPr>
              <w:t xml:space="preserve"> are mechanisms through which the Fund can be protected from sudden changes in share prices or </w:t>
            </w:r>
            <w:r>
              <w:rPr>
                <w:rFonts w:cs="Arial"/>
              </w:rPr>
              <w:t>e</w:t>
            </w:r>
            <w:r w:rsidRPr="00925FE3">
              <w:rPr>
                <w:rFonts w:cs="Arial"/>
              </w:rPr>
              <w:t xml:space="preserve">xchange </w:t>
            </w:r>
            <w:r>
              <w:rPr>
                <w:rFonts w:cs="Arial"/>
              </w:rPr>
              <w:t>r</w:t>
            </w:r>
            <w:r w:rsidRPr="00925FE3">
              <w:rPr>
                <w:rFonts w:cs="Arial"/>
              </w:rPr>
              <w:t xml:space="preserve">ates. </w:t>
            </w:r>
            <w:r>
              <w:rPr>
                <w:rFonts w:cs="Arial"/>
              </w:rPr>
              <w:t xml:space="preserve"> </w:t>
            </w:r>
            <w:r w:rsidRPr="00925FE3">
              <w:rPr>
                <w:rFonts w:cs="Arial"/>
              </w:rPr>
              <w:t xml:space="preserve">Although not income </w:t>
            </w:r>
            <w:r w:rsidR="003B1AF1" w:rsidRPr="00925FE3">
              <w:rPr>
                <w:rFonts w:cs="Arial"/>
              </w:rPr>
              <w:t>producing,</w:t>
            </w:r>
            <w:r w:rsidRPr="00925FE3">
              <w:rPr>
                <w:rFonts w:cs="Arial"/>
              </w:rPr>
              <w:t xml:space="preserve"> they can </w:t>
            </w:r>
            <w:r>
              <w:rPr>
                <w:rFonts w:cs="Arial"/>
              </w:rPr>
              <w:t>result in</w:t>
            </w:r>
            <w:r w:rsidRPr="00925FE3">
              <w:rPr>
                <w:rFonts w:cs="Arial"/>
              </w:rPr>
              <w:t xml:space="preserve"> capital gains and losses.</w:t>
            </w:r>
            <w:r>
              <w:rPr>
                <w:rFonts w:cs="Arial"/>
              </w:rPr>
              <w:t xml:space="preserve"> </w:t>
            </w:r>
            <w:r w:rsidRPr="00925FE3">
              <w:rPr>
                <w:rFonts w:cs="Arial"/>
              </w:rPr>
              <w:t xml:space="preserve"> They may be used to hedge the Fund’s exposure to particular markets.</w:t>
            </w:r>
          </w:p>
          <w:p w14:paraId="1D26A995" w14:textId="77777777" w:rsidR="00CE4C30" w:rsidRPr="00E4321A" w:rsidRDefault="00CE4C30" w:rsidP="00CE4C30">
            <w:pPr>
              <w:rPr>
                <w:rFonts w:cs="Arial"/>
              </w:rPr>
            </w:pPr>
          </w:p>
        </w:tc>
      </w:tr>
      <w:tr w:rsidR="00CE4C30" w14:paraId="5856A526" w14:textId="77777777" w:rsidTr="00AE331D">
        <w:trPr>
          <w:cantSplit/>
        </w:trPr>
        <w:tc>
          <w:tcPr>
            <w:tcW w:w="3402" w:type="dxa"/>
          </w:tcPr>
          <w:p w14:paraId="32881FA2" w14:textId="77777777" w:rsidR="00CE4C30" w:rsidRPr="00925FE3" w:rsidRDefault="00CE4C30" w:rsidP="00F54776">
            <w:pPr>
              <w:rPr>
                <w:b/>
              </w:rPr>
            </w:pPr>
            <w:r w:rsidRPr="00994C35">
              <w:rPr>
                <w:b/>
              </w:rPr>
              <w:lastRenderedPageBreak/>
              <w:t>Cash</w:t>
            </w:r>
          </w:p>
        </w:tc>
        <w:tc>
          <w:tcPr>
            <w:tcW w:w="5615" w:type="dxa"/>
          </w:tcPr>
          <w:p w14:paraId="2B324F9D" w14:textId="77777777" w:rsidR="00CE4C30" w:rsidRDefault="00CE4C30" w:rsidP="00CE4C30">
            <w:pPr>
              <w:rPr>
                <w:rFonts w:cs="Arial"/>
              </w:rPr>
            </w:pPr>
            <w:r w:rsidRPr="004B3E10">
              <w:rPr>
                <w:rFonts w:cs="Arial"/>
              </w:rPr>
              <w:t xml:space="preserve">is invested in authorised institutions in accordance with the treasury management policy of </w:t>
            </w:r>
            <w:r>
              <w:rPr>
                <w:rFonts w:cs="Arial"/>
              </w:rPr>
              <w:t>the Council under the terms of a Service Level Agreement</w:t>
            </w:r>
            <w:r w:rsidRPr="00D95EDD">
              <w:rPr>
                <w:rFonts w:cs="Arial"/>
              </w:rPr>
              <w:t xml:space="preserve"> and attract</w:t>
            </w:r>
            <w:r>
              <w:rPr>
                <w:rFonts w:cs="Arial"/>
              </w:rPr>
              <w:t>s</w:t>
            </w:r>
            <w:r w:rsidRPr="00D95EDD">
              <w:rPr>
                <w:rFonts w:cs="Arial"/>
              </w:rPr>
              <w:t xml:space="preserve"> interest at market rates.</w:t>
            </w:r>
          </w:p>
          <w:p w14:paraId="4424F1A2" w14:textId="77777777" w:rsidR="00CE4C30" w:rsidRPr="00925FE3" w:rsidRDefault="00CE4C30" w:rsidP="00CE4C30">
            <w:pPr>
              <w:rPr>
                <w:rFonts w:cs="Arial"/>
              </w:rPr>
            </w:pPr>
          </w:p>
        </w:tc>
      </w:tr>
    </w:tbl>
    <w:p w14:paraId="20D27250" w14:textId="37140D11" w:rsidR="00673460" w:rsidRDefault="00374E9D" w:rsidP="000F2478">
      <w:pPr>
        <w:tabs>
          <w:tab w:val="left" w:pos="142"/>
        </w:tabs>
        <w:ind w:left="142" w:hanging="567"/>
      </w:pPr>
      <w:r>
        <w:t>4.2</w:t>
      </w:r>
      <w:r w:rsidR="000F2478">
        <w:tab/>
      </w:r>
      <w:r w:rsidR="00673460">
        <w:t>Each asset class has different return expectations</w:t>
      </w:r>
      <w:r w:rsidR="00F77E78">
        <w:t xml:space="preserve"> and volatility characteristics.  They are blended to produce the optimal investment return while taking an appropriate level of risk.  </w:t>
      </w:r>
      <w:r w:rsidR="00E92028">
        <w:t>P</w:t>
      </w:r>
      <w:r w:rsidR="00F77E78">
        <w:t xml:space="preserve">eriodic investment reviews </w:t>
      </w:r>
      <w:r w:rsidR="00E92028">
        <w:t xml:space="preserve">assess whether </w:t>
      </w:r>
      <w:r w:rsidR="00F77E78">
        <w:t xml:space="preserve">this blend </w:t>
      </w:r>
      <w:r w:rsidR="00E92028">
        <w:t xml:space="preserve">requires </w:t>
      </w:r>
      <w:r w:rsidR="00F77E78">
        <w:t>adjust</w:t>
      </w:r>
      <w:r w:rsidR="00E92028">
        <w:t>ment, including through the addition of new asset classes,</w:t>
      </w:r>
      <w:r w:rsidR="00F77E78">
        <w:t xml:space="preserve"> to take account of changing market conditions and the evolving </w:t>
      </w:r>
      <w:r w:rsidR="00E92028">
        <w:t>asset and liability profile of the Fund.  Tactical rebalancing also takes place, as required.  All monitoring, reviews and rebalancing is undertaken after taking advice from the Fund’s Investment Consultant</w:t>
      </w:r>
      <w:r w:rsidR="00C34B00">
        <w:t xml:space="preserve"> and </w:t>
      </w:r>
      <w:r w:rsidR="008A12C3">
        <w:t xml:space="preserve">Independent </w:t>
      </w:r>
      <w:r w:rsidR="00C34B00">
        <w:t>Advis</w:t>
      </w:r>
      <w:r w:rsidR="00917A9F">
        <w:t>e</w:t>
      </w:r>
      <w:r w:rsidR="00C34B00">
        <w:t>r</w:t>
      </w:r>
      <w:r w:rsidR="00E92028">
        <w:t>.</w:t>
      </w:r>
    </w:p>
    <w:p w14:paraId="447830F1" w14:textId="77777777" w:rsidR="00DA1B25" w:rsidRDefault="00DA1B25" w:rsidP="00AE331D">
      <w:pPr>
        <w:pStyle w:val="ListParagraph"/>
        <w:ind w:left="-3"/>
      </w:pPr>
    </w:p>
    <w:p w14:paraId="51FA6B23" w14:textId="72FEDA3E" w:rsidR="00556F66" w:rsidRDefault="006724C2" w:rsidP="000F2478">
      <w:pPr>
        <w:ind w:left="142" w:hanging="568"/>
      </w:pPr>
      <w:r>
        <w:t>4.3</w:t>
      </w:r>
      <w:r w:rsidR="000F2478">
        <w:tab/>
      </w:r>
      <w:r w:rsidR="00DA1B25" w:rsidRPr="008B65C7">
        <w:t xml:space="preserve">The </w:t>
      </w:r>
      <w:r w:rsidR="00B030AE">
        <w:t>2024/25</w:t>
      </w:r>
      <w:r w:rsidR="006C4EE9" w:rsidRPr="008B65C7">
        <w:t xml:space="preserve"> investment strategy review</w:t>
      </w:r>
      <w:r w:rsidR="00DA1B25" w:rsidRPr="008B65C7">
        <w:t xml:space="preserve"> was </w:t>
      </w:r>
      <w:r w:rsidR="006C4EE9" w:rsidRPr="008B65C7">
        <w:t>concluded</w:t>
      </w:r>
      <w:r w:rsidR="00DA1B25" w:rsidRPr="00AD79A1">
        <w:t xml:space="preserve"> </w:t>
      </w:r>
      <w:r w:rsidR="009066F8" w:rsidRPr="00AD79A1">
        <w:t>based on</w:t>
      </w:r>
      <w:r w:rsidR="00DA1B25" w:rsidRPr="00AD79A1">
        <w:t xml:space="preserve"> an expected return on assets of </w:t>
      </w:r>
      <w:r w:rsidR="008A4092">
        <w:t>7.2</w:t>
      </w:r>
      <w:r w:rsidR="006C4EE9" w:rsidRPr="00AE331D">
        <w:t>%</w:t>
      </w:r>
      <w:r w:rsidR="00DA1B25" w:rsidRPr="00AE331D">
        <w:t xml:space="preserve"> </w:t>
      </w:r>
      <w:r w:rsidR="00F748FD">
        <w:t xml:space="preserve">per annum </w:t>
      </w:r>
      <w:r w:rsidR="00DA1B25" w:rsidRPr="00AE331D">
        <w:t>over the long term</w:t>
      </w:r>
      <w:r w:rsidR="00325107" w:rsidRPr="00AE331D">
        <w:t xml:space="preserve">.  </w:t>
      </w:r>
      <w:r w:rsidR="008A4092">
        <w:t xml:space="preserve">This </w:t>
      </w:r>
      <w:r w:rsidR="00F748FD">
        <w:t>is higher than the expected return assumed by the 2022 Valuation of 6.</w:t>
      </w:r>
      <w:r w:rsidR="009066F8">
        <w:t>1</w:t>
      </w:r>
      <w:r w:rsidR="00F748FD">
        <w:t xml:space="preserve">%, due </w:t>
      </w:r>
      <w:r w:rsidR="00763FEB">
        <w:t xml:space="preserve">in part </w:t>
      </w:r>
      <w:r w:rsidR="00F748FD">
        <w:t>to the negative returns experienced by most asset classes in 2022/23.</w:t>
      </w:r>
      <w:r w:rsidR="008A4092">
        <w:t xml:space="preserve">  </w:t>
      </w:r>
      <w:r w:rsidR="00F748FD">
        <w:t>6.</w:t>
      </w:r>
      <w:r w:rsidR="009066F8">
        <w:t>1</w:t>
      </w:r>
      <w:r w:rsidR="00F748FD">
        <w:t>% was 2%</w:t>
      </w:r>
      <w:r w:rsidR="00325107" w:rsidRPr="00AE331D">
        <w:t xml:space="preserve"> above the discount rate used to calculate the Fund’s liabilities and reflects a “probability of funding success” as described in the Funding Strategy Statement of </w:t>
      </w:r>
      <w:r w:rsidR="0022356D" w:rsidRPr="00AE331D">
        <w:t>80</w:t>
      </w:r>
      <w:r w:rsidR="00325107" w:rsidRPr="00AE331D">
        <w:t>%.</w:t>
      </w:r>
      <w:r w:rsidR="00DA1B25" w:rsidRPr="00AE331D">
        <w:t xml:space="preserve">  This </w:t>
      </w:r>
      <w:r w:rsidR="002753D7">
        <w:t>was</w:t>
      </w:r>
      <w:r w:rsidR="00DA1B25" w:rsidRPr="00AE331D">
        <w:t xml:space="preserve"> based on the Fund’s current asset mix and assumes no outperformance from active management.</w:t>
      </w:r>
    </w:p>
    <w:p w14:paraId="0EECF289" w14:textId="35E35F81" w:rsidR="00B25EB6" w:rsidRDefault="00706876" w:rsidP="0098411D">
      <w:pPr>
        <w:pStyle w:val="Heading1"/>
      </w:pPr>
      <w:bookmarkStart w:id="4" w:name="_Toc168642800"/>
      <w:r>
        <w:t>5.0</w:t>
      </w:r>
      <w:r w:rsidR="00C25837">
        <w:tab/>
      </w:r>
      <w:r w:rsidR="00556F66">
        <w:t>The approach to risk, including the ways in which risks are to be measured and managed</w:t>
      </w:r>
      <w:bookmarkEnd w:id="4"/>
    </w:p>
    <w:p w14:paraId="33213CEC" w14:textId="77777777" w:rsidR="00F1371A" w:rsidRPr="00E92028" w:rsidRDefault="00F1371A" w:rsidP="00AE331D"/>
    <w:p w14:paraId="174603CB" w14:textId="15B8F53A" w:rsidR="00494B7E" w:rsidRPr="00AE331D" w:rsidRDefault="00EF5F1C" w:rsidP="00EF5F1C">
      <w:pPr>
        <w:pStyle w:val="ListParagraph"/>
        <w:tabs>
          <w:tab w:val="left" w:pos="284"/>
        </w:tabs>
        <w:ind w:left="142" w:hanging="568"/>
      </w:pPr>
      <w:r>
        <w:t xml:space="preserve">5.1 </w:t>
      </w:r>
      <w:r>
        <w:tab/>
      </w:r>
      <w:r w:rsidR="0062671C">
        <w:t>T</w:t>
      </w:r>
      <w:r w:rsidR="0062671C" w:rsidRPr="008B65C7">
        <w:t>he Fund aims to achieve its funding objective by taking an appropriate level of risk, through</w:t>
      </w:r>
      <w:r w:rsidR="00C57B8F" w:rsidRPr="008B65C7">
        <w:t xml:space="preserve"> investing </w:t>
      </w:r>
      <w:r w:rsidR="00494B7E" w:rsidRPr="00AE331D">
        <w:t xml:space="preserve">a proportion of funds </w:t>
      </w:r>
      <w:r w:rsidR="00C57B8F" w:rsidRPr="00AE331D">
        <w:t xml:space="preserve">in growth assets.  </w:t>
      </w:r>
      <w:r w:rsidR="00494B7E" w:rsidRPr="00AE331D">
        <w:t>Ongoing monitoring of the risk profile takes place</w:t>
      </w:r>
      <w:r w:rsidR="003D7559" w:rsidRPr="00AE331D">
        <w:t>,</w:t>
      </w:r>
      <w:r w:rsidR="00494B7E" w:rsidRPr="00AE331D">
        <w:t xml:space="preserve"> including reassessing its appropriateness</w:t>
      </w:r>
      <w:r w:rsidR="003D7559" w:rsidRPr="00AE331D">
        <w:t>,</w:t>
      </w:r>
      <w:r w:rsidR="00494B7E" w:rsidRPr="00AE331D">
        <w:t xml:space="preserve"> through investment strategy reviews and at the quarterly meetings of the PFC when appropriate.  Close regard is paid to the ongoing risks which may arise through a developing mismatch, over time, between the assets of the Fund and its liabilities, together with the risks which may arise from any lack of balance</w:t>
      </w:r>
      <w:r w:rsidR="006C4EE9" w:rsidRPr="00AE331D">
        <w:t xml:space="preserve"> or</w:t>
      </w:r>
      <w:r w:rsidR="00494B7E" w:rsidRPr="00AE331D">
        <w:t xml:space="preserve"> diversification of the investment of those assets.</w:t>
      </w:r>
    </w:p>
    <w:p w14:paraId="740C2DE7" w14:textId="77777777" w:rsidR="00494B7E" w:rsidRDefault="00494B7E" w:rsidP="00EF5F1C">
      <w:pPr>
        <w:pStyle w:val="ListParagraph"/>
        <w:tabs>
          <w:tab w:val="left" w:pos="284"/>
        </w:tabs>
        <w:ind w:left="142" w:hanging="568"/>
      </w:pPr>
    </w:p>
    <w:p w14:paraId="1249E8BD" w14:textId="73A47EB8" w:rsidR="00E92028" w:rsidRPr="00AE331D" w:rsidRDefault="00EF5F1C" w:rsidP="00EF5F1C">
      <w:pPr>
        <w:pStyle w:val="ListParagraph"/>
        <w:tabs>
          <w:tab w:val="left" w:pos="284"/>
        </w:tabs>
        <w:ind w:left="142" w:hanging="568"/>
      </w:pPr>
      <w:r>
        <w:t xml:space="preserve">5.2 </w:t>
      </w:r>
      <w:r>
        <w:tab/>
      </w:r>
      <w:r w:rsidR="009B5C56" w:rsidRPr="00AE331D">
        <w:t>The risk of financial mismatch</w:t>
      </w:r>
      <w:r w:rsidR="00E14B52" w:rsidRPr="00AE331D">
        <w:t xml:space="preserve"> is </w:t>
      </w:r>
      <w:r w:rsidR="009B5C56" w:rsidRPr="00AE331D">
        <w:t>that the Fund’s assets fail to grow in line with the liabilities</w:t>
      </w:r>
      <w:r w:rsidR="00E14B52" w:rsidRPr="00AE331D">
        <w:t>.  It</w:t>
      </w:r>
      <w:r w:rsidR="009B5C56" w:rsidRPr="00AE331D">
        <w:t xml:space="preserve"> is managed by</w:t>
      </w:r>
      <w:r w:rsidR="00E14B52" w:rsidRPr="00AE331D">
        <w:t xml:space="preserve"> the Committee through a review of the assumptions used to calculate the Fund’s liabilities at each Triennial Valuation, </w:t>
      </w:r>
      <w:r w:rsidR="00143A3F" w:rsidRPr="00AE331D">
        <w:t xml:space="preserve">and </w:t>
      </w:r>
      <w:r w:rsidR="00E14B52" w:rsidRPr="00AE331D">
        <w:t xml:space="preserve">an assessment by the Actuary of the Fund’s asset allocation strategy of the probability of </w:t>
      </w:r>
      <w:r w:rsidR="00143A3F" w:rsidRPr="00AE331D">
        <w:t xml:space="preserve">achieving </w:t>
      </w:r>
      <w:r w:rsidR="00E14B52" w:rsidRPr="00AE331D">
        <w:t>funding success</w:t>
      </w:r>
      <w:r w:rsidR="00143A3F" w:rsidRPr="00AE331D">
        <w:t>.  This assessment forms the basis for subsequent asset allocation reviews aimed at controlling risk and further improving the funding position.</w:t>
      </w:r>
    </w:p>
    <w:p w14:paraId="38724AD7" w14:textId="77777777" w:rsidR="00143A3F" w:rsidRPr="00AE331D" w:rsidRDefault="00143A3F" w:rsidP="00EF5F1C">
      <w:pPr>
        <w:pStyle w:val="ListParagraph"/>
        <w:tabs>
          <w:tab w:val="left" w:pos="284"/>
        </w:tabs>
        <w:ind w:left="142" w:hanging="568"/>
      </w:pPr>
    </w:p>
    <w:p w14:paraId="13ADEC14" w14:textId="089E5215" w:rsidR="00143A3F" w:rsidRPr="00AE331D" w:rsidRDefault="00EF5F1C" w:rsidP="00EF5F1C">
      <w:pPr>
        <w:pStyle w:val="ListParagraph"/>
        <w:tabs>
          <w:tab w:val="left" w:pos="284"/>
        </w:tabs>
        <w:ind w:left="142" w:hanging="568"/>
      </w:pPr>
      <w:r>
        <w:t xml:space="preserve">5.3 </w:t>
      </w:r>
      <w:r>
        <w:tab/>
      </w:r>
      <w:r w:rsidR="00143A3F" w:rsidRPr="00AE331D">
        <w:t>Longevity risk and other demographic factors are assessed at each Triennial Valuation.  The Committee reviews national and Fund specific trends as part of</w:t>
      </w:r>
      <w:r w:rsidR="00DC23CC" w:rsidRPr="00AE331D">
        <w:t xml:space="preserve"> this process.</w:t>
      </w:r>
    </w:p>
    <w:p w14:paraId="12468A2B" w14:textId="77777777" w:rsidR="00DC23CC" w:rsidRPr="00AE331D" w:rsidRDefault="00DC23CC" w:rsidP="00EF5F1C">
      <w:pPr>
        <w:pStyle w:val="ListParagraph"/>
        <w:tabs>
          <w:tab w:val="left" w:pos="284"/>
        </w:tabs>
        <w:ind w:left="142" w:hanging="568"/>
      </w:pPr>
    </w:p>
    <w:p w14:paraId="372F515D" w14:textId="63585CC3" w:rsidR="00DC23CC" w:rsidRPr="00AE331D" w:rsidRDefault="00EF5F1C" w:rsidP="00EF5F1C">
      <w:pPr>
        <w:pStyle w:val="ListParagraph"/>
        <w:tabs>
          <w:tab w:val="left" w:pos="284"/>
        </w:tabs>
        <w:ind w:left="142" w:hanging="568"/>
      </w:pPr>
      <w:r>
        <w:t xml:space="preserve">5.4 </w:t>
      </w:r>
      <w:r w:rsidR="0024344B">
        <w:tab/>
      </w:r>
      <w:r w:rsidR="00DC23CC" w:rsidRPr="00AE331D">
        <w:t xml:space="preserve">Systemic risk, being the possibility that an event akin to the financial crisis occurs, is mitigated through the diversified nature of the Fund’s asset allocation strategy.  The Committee has taken steps since </w:t>
      </w:r>
      <w:r w:rsidR="008B06A8" w:rsidRPr="00AE331D">
        <w:t xml:space="preserve">the global financial crisis in </w:t>
      </w:r>
      <w:r w:rsidR="00DC23CC" w:rsidRPr="00AE331D">
        <w:t xml:space="preserve">2008 to spread investments across a larger number of asset classes which behave differently in different market conditions.  The risks associated with individual asset </w:t>
      </w:r>
      <w:r w:rsidR="00956F71" w:rsidRPr="00AE331D">
        <w:t>classes, the combined nature of risks at Fund level are reassessed at each strategy review and changes made as appropriate.</w:t>
      </w:r>
    </w:p>
    <w:p w14:paraId="2D512A0A" w14:textId="57FB4D7C" w:rsidR="00956F71" w:rsidRPr="00AE331D" w:rsidRDefault="00956F71" w:rsidP="00EF5F1C">
      <w:pPr>
        <w:tabs>
          <w:tab w:val="left" w:pos="284"/>
        </w:tabs>
        <w:ind w:left="142" w:hanging="568"/>
        <w:jc w:val="left"/>
      </w:pPr>
    </w:p>
    <w:p w14:paraId="1DC67F87" w14:textId="558E09C2" w:rsidR="00956F71" w:rsidRPr="00AE331D" w:rsidRDefault="00EF5F1C" w:rsidP="00EF5F1C">
      <w:pPr>
        <w:pStyle w:val="ListParagraph"/>
        <w:tabs>
          <w:tab w:val="left" w:pos="284"/>
        </w:tabs>
        <w:ind w:left="142" w:hanging="568"/>
      </w:pPr>
      <w:r>
        <w:t xml:space="preserve">5.5 </w:t>
      </w:r>
      <w:r>
        <w:tab/>
      </w:r>
      <w:r w:rsidR="00956F71" w:rsidRPr="00AE331D">
        <w:t>This dive</w:t>
      </w:r>
      <w:r w:rsidR="00763450" w:rsidRPr="00AE331D">
        <w:t>rsification across asset classes</w:t>
      </w:r>
      <w:r w:rsidR="00956F71" w:rsidRPr="00AE331D">
        <w:t xml:space="preserve"> and across investment managers within each asset class significantly mitigates concentration risk, so that the effect of underperformance of any one asset class or investment manager is minimised.</w:t>
      </w:r>
      <w:r w:rsidR="006F7B01" w:rsidRPr="00AE331D">
        <w:t xml:space="preserve">  Rebalancing activity prevents </w:t>
      </w:r>
      <w:r w:rsidR="00592830" w:rsidRPr="00AE331D">
        <w:t xml:space="preserve">material </w:t>
      </w:r>
      <w:r w:rsidR="006F7B01" w:rsidRPr="00AE331D">
        <w:t>departure from the strategic asset allocation benchmark.</w:t>
      </w:r>
    </w:p>
    <w:p w14:paraId="631712DE" w14:textId="77777777" w:rsidR="00956F71" w:rsidRPr="00AE331D" w:rsidRDefault="00956F71" w:rsidP="00EF5F1C">
      <w:pPr>
        <w:pStyle w:val="ListParagraph"/>
        <w:tabs>
          <w:tab w:val="left" w:pos="284"/>
        </w:tabs>
        <w:ind w:left="142" w:hanging="568"/>
      </w:pPr>
    </w:p>
    <w:p w14:paraId="073BAAAA" w14:textId="45193895" w:rsidR="00956F71" w:rsidRPr="00AE331D" w:rsidRDefault="00EF5F1C" w:rsidP="00EF5F1C">
      <w:pPr>
        <w:pStyle w:val="ListParagraph"/>
        <w:tabs>
          <w:tab w:val="left" w:pos="284"/>
        </w:tabs>
        <w:ind w:left="142" w:hanging="568"/>
      </w:pPr>
      <w:r>
        <w:t xml:space="preserve">5.6 </w:t>
      </w:r>
      <w:r>
        <w:tab/>
      </w:r>
      <w:r w:rsidR="006F7B01" w:rsidRPr="00AE331D">
        <w:t>The significant majority of the Fund’s assets are invested in liquid investments, so that the risk of illiquidity, being an inability to meet liabilities as a result of a lack of liquid assets, is minimal.  The risk is further managed by cashflow forecasting.</w:t>
      </w:r>
    </w:p>
    <w:p w14:paraId="170EF156" w14:textId="77777777" w:rsidR="006F7B01" w:rsidRPr="00AE331D" w:rsidRDefault="006F7B01" w:rsidP="00EF5F1C">
      <w:pPr>
        <w:pStyle w:val="ListParagraph"/>
        <w:tabs>
          <w:tab w:val="left" w:pos="284"/>
        </w:tabs>
        <w:ind w:left="142" w:hanging="568"/>
      </w:pPr>
    </w:p>
    <w:p w14:paraId="334D1ED9" w14:textId="739C958D" w:rsidR="006F7B01" w:rsidRPr="00AE331D" w:rsidRDefault="00EF5F1C" w:rsidP="00EF5F1C">
      <w:pPr>
        <w:pStyle w:val="ListParagraph"/>
        <w:tabs>
          <w:tab w:val="left" w:pos="284"/>
        </w:tabs>
        <w:ind w:left="142" w:hanging="568"/>
      </w:pPr>
      <w:r>
        <w:t xml:space="preserve">5.7 </w:t>
      </w:r>
      <w:r>
        <w:tab/>
      </w:r>
      <w:r w:rsidR="006F7B01" w:rsidRPr="00AE331D">
        <w:t>Currency risk is that the Fund’s assets, the majority of which are overseas, underperform relative to Sterling.  This risk is managed through a periodic assessment of currency exchange rates</w:t>
      </w:r>
      <w:r w:rsidR="00B54B08" w:rsidRPr="00AE331D">
        <w:t xml:space="preserve"> including receiving advice on the suitability of hedging the major currencies the Fund’s assets are denominated in.</w:t>
      </w:r>
    </w:p>
    <w:p w14:paraId="30A543EC" w14:textId="77777777" w:rsidR="00B54B08" w:rsidRPr="00AE331D" w:rsidRDefault="00B54B08" w:rsidP="00EF5F1C">
      <w:pPr>
        <w:pStyle w:val="ListParagraph"/>
        <w:tabs>
          <w:tab w:val="left" w:pos="284"/>
        </w:tabs>
        <w:ind w:left="142" w:hanging="568"/>
      </w:pPr>
    </w:p>
    <w:p w14:paraId="4F2B8D73" w14:textId="592231DD" w:rsidR="00655268" w:rsidRPr="00AE331D" w:rsidRDefault="00EF5F1C" w:rsidP="00EF5F1C">
      <w:pPr>
        <w:pStyle w:val="ListParagraph"/>
        <w:tabs>
          <w:tab w:val="left" w:pos="284"/>
        </w:tabs>
        <w:ind w:left="142" w:hanging="568"/>
      </w:pPr>
      <w:r>
        <w:t xml:space="preserve">5.8 </w:t>
      </w:r>
      <w:r>
        <w:tab/>
      </w:r>
      <w:r w:rsidR="00763450" w:rsidRPr="00AE331D">
        <w:t>Agreements with the Fund’s custodian and investment managers provide protection against fraudulent losses.  I</w:t>
      </w:r>
      <w:r w:rsidR="008318F6" w:rsidRPr="00AE331D">
        <w:t>n addition</w:t>
      </w:r>
      <w:r w:rsidR="00A527BD" w:rsidRPr="00AE331D">
        <w:t>,</w:t>
      </w:r>
      <w:r w:rsidR="008318F6" w:rsidRPr="00AE331D">
        <w:t xml:space="preserve"> regular checks are undertaken by independent auditors </w:t>
      </w:r>
      <w:r w:rsidR="003F2437" w:rsidRPr="00AE331D">
        <w:t>of</w:t>
      </w:r>
      <w:r w:rsidR="008318F6" w:rsidRPr="00AE331D">
        <w:t xml:space="preserve"> the custodian’s </w:t>
      </w:r>
      <w:r w:rsidR="00EA031F" w:rsidRPr="00AE331D">
        <w:t xml:space="preserve">and investment managers’ </w:t>
      </w:r>
      <w:r w:rsidR="008318F6" w:rsidRPr="00AE331D">
        <w:t xml:space="preserve">systems. </w:t>
      </w:r>
      <w:r w:rsidR="00EA031F" w:rsidRPr="00AE331D">
        <w:t xml:space="preserve"> The</w:t>
      </w:r>
      <w:r w:rsidR="00655268" w:rsidRPr="00AE331D">
        <w:t xml:space="preserve">se organisations </w:t>
      </w:r>
      <w:r w:rsidR="003F2437" w:rsidRPr="00AE331D">
        <w:t xml:space="preserve">have </w:t>
      </w:r>
      <w:r w:rsidR="00EA031F" w:rsidRPr="00AE331D">
        <w:t xml:space="preserve">internal compliance teams </w:t>
      </w:r>
      <w:r w:rsidR="003F2437" w:rsidRPr="00AE331D">
        <w:t xml:space="preserve">which </w:t>
      </w:r>
      <w:r w:rsidR="00EA031F" w:rsidRPr="00AE331D">
        <w:t>a</w:t>
      </w:r>
      <w:r w:rsidR="00763450" w:rsidRPr="00AE331D">
        <w:t>lso monitor and report on risk.</w:t>
      </w:r>
    </w:p>
    <w:p w14:paraId="54DE5103" w14:textId="77777777" w:rsidR="00DA1B25" w:rsidRPr="00AE331D" w:rsidRDefault="00DA1B25" w:rsidP="00EF5F1C">
      <w:pPr>
        <w:tabs>
          <w:tab w:val="left" w:pos="284"/>
        </w:tabs>
        <w:ind w:left="142" w:hanging="568"/>
      </w:pPr>
    </w:p>
    <w:p w14:paraId="6FD6D0EE" w14:textId="0FDFDE01" w:rsidR="003D6A3E" w:rsidRPr="00AE331D" w:rsidRDefault="00EF5F1C" w:rsidP="00EF5F1C">
      <w:pPr>
        <w:pStyle w:val="ListParagraph"/>
        <w:tabs>
          <w:tab w:val="left" w:pos="284"/>
        </w:tabs>
        <w:ind w:left="142" w:hanging="568"/>
      </w:pPr>
      <w:r>
        <w:t xml:space="preserve">5.9 </w:t>
      </w:r>
      <w:r>
        <w:tab/>
      </w:r>
      <w:r w:rsidR="00DA1B25" w:rsidRPr="00AE331D">
        <w:t xml:space="preserve">The Fund </w:t>
      </w:r>
      <w:r w:rsidR="003D7559" w:rsidRPr="00AE331D">
        <w:t xml:space="preserve">has its own Risk Management Policy and </w:t>
      </w:r>
      <w:r w:rsidR="00DA1B25" w:rsidRPr="00AE331D">
        <w:t xml:space="preserve">maintains a Risk Register which identifies the key risks, an assessment of the potential impact of each risk should it occur, </w:t>
      </w:r>
      <w:r w:rsidR="005949F2" w:rsidRPr="00AE331D">
        <w:t xml:space="preserve">and </w:t>
      </w:r>
      <w:r w:rsidR="00DA1B25" w:rsidRPr="00AE331D">
        <w:t xml:space="preserve">the controls </w:t>
      </w:r>
      <w:r w:rsidR="005949F2" w:rsidRPr="00AE331D">
        <w:t xml:space="preserve">and contingency plans </w:t>
      </w:r>
      <w:r w:rsidR="00DA1B25" w:rsidRPr="00AE331D">
        <w:t>in place to mitigate the likelihood and severity of each risk.  The Risk Register is reviewed by the PFC annually and by the Pension Board semi-annually.</w:t>
      </w:r>
    </w:p>
    <w:p w14:paraId="1F1A296F" w14:textId="77777777" w:rsidR="008B06A8" w:rsidRPr="00AE331D" w:rsidRDefault="008B06A8" w:rsidP="00EF5F1C">
      <w:pPr>
        <w:pStyle w:val="ListParagraph"/>
        <w:tabs>
          <w:tab w:val="left" w:pos="284"/>
        </w:tabs>
        <w:ind w:left="142" w:hanging="568"/>
      </w:pPr>
    </w:p>
    <w:p w14:paraId="49B43B40" w14:textId="1A7B72F6" w:rsidR="00763450" w:rsidRDefault="0024344B" w:rsidP="00EF5F1C">
      <w:pPr>
        <w:pStyle w:val="ListParagraph"/>
        <w:tabs>
          <w:tab w:val="left" w:pos="284"/>
        </w:tabs>
        <w:ind w:left="142" w:hanging="568"/>
      </w:pPr>
      <w:r>
        <w:t>5</w:t>
      </w:r>
      <w:r w:rsidR="00EF5F1C">
        <w:t xml:space="preserve">.10 </w:t>
      </w:r>
      <w:r w:rsidR="00EF5F1C">
        <w:tab/>
      </w:r>
      <w:r w:rsidR="008B06A8" w:rsidRPr="00AE331D">
        <w:t xml:space="preserve">Environmental, Social and Governance (ESG) factors present financial and non-financial risks to the Fund which could impact on the ability to achieve the </w:t>
      </w:r>
      <w:r w:rsidR="001F5884" w:rsidRPr="00AE331D">
        <w:t>long-term</w:t>
      </w:r>
      <w:r w:rsidR="008B06A8" w:rsidRPr="00AE331D">
        <w:t xml:space="preserve"> return target.  The Fund’s approach to managing </w:t>
      </w:r>
      <w:r w:rsidR="00EE1899" w:rsidRPr="00AE331D">
        <w:t xml:space="preserve">these </w:t>
      </w:r>
      <w:r w:rsidR="008B06A8" w:rsidRPr="00AE331D">
        <w:t xml:space="preserve">risks is detailed in the Responsible Investment Policy.  </w:t>
      </w:r>
      <w:r w:rsidR="00EE1899" w:rsidRPr="00AE331D">
        <w:t>The Climate Change Statement expands on the approach in relation to this area.</w:t>
      </w:r>
    </w:p>
    <w:p w14:paraId="2251DB5F" w14:textId="3802ECF9" w:rsidR="00763450" w:rsidRPr="00763450" w:rsidRDefault="0024344B" w:rsidP="0098411D">
      <w:pPr>
        <w:pStyle w:val="Heading1"/>
      </w:pPr>
      <w:bookmarkStart w:id="5" w:name="_Toc168642801"/>
      <w:r>
        <w:t>6</w:t>
      </w:r>
      <w:r w:rsidR="00FE469B">
        <w:t>.0</w:t>
      </w:r>
      <w:r w:rsidR="00BF1D67">
        <w:tab/>
      </w:r>
      <w:r w:rsidR="00556F66" w:rsidRPr="00B1064D">
        <w:t>The approach to pooling investments, including the use of collective investment vehicles and shared services</w:t>
      </w:r>
      <w:bookmarkEnd w:id="5"/>
    </w:p>
    <w:p w14:paraId="39598C2D" w14:textId="77777777" w:rsidR="00763450" w:rsidRDefault="00763450" w:rsidP="00AE331D">
      <w:pPr>
        <w:rPr>
          <w:rFonts w:cs="Arial"/>
        </w:rPr>
      </w:pPr>
    </w:p>
    <w:p w14:paraId="7005D746" w14:textId="563B3622" w:rsidR="00763450" w:rsidRPr="00AE331D" w:rsidRDefault="001F5884" w:rsidP="0005336B">
      <w:pPr>
        <w:pStyle w:val="ListParagraph"/>
        <w:numPr>
          <w:ilvl w:val="1"/>
          <w:numId w:val="47"/>
        </w:numPr>
        <w:ind w:left="142" w:hanging="568"/>
      </w:pPr>
      <w:r w:rsidRPr="008B65C7">
        <w:t>To</w:t>
      </w:r>
      <w:r w:rsidR="002F3955" w:rsidRPr="008B65C7">
        <w:t xml:space="preserve"> satisfy the requirements of the Local Government Pension Scheme</w:t>
      </w:r>
      <w:r w:rsidR="00592830" w:rsidRPr="008B65C7">
        <w:t xml:space="preserve"> (Management and Investment of Funds) Regulations 2016</w:t>
      </w:r>
      <w:r w:rsidR="002F3955" w:rsidRPr="00AE331D">
        <w:t>, the Fund has become a shareholder</w:t>
      </w:r>
      <w:r w:rsidR="00887362" w:rsidRPr="00AE331D">
        <w:t xml:space="preserve"> of th</w:t>
      </w:r>
      <w:r w:rsidR="00763450" w:rsidRPr="00AE331D">
        <w:t>e Border to Coast Pensions Partnership (</w:t>
      </w:r>
      <w:r w:rsidR="004C382D" w:rsidRPr="00AE331D">
        <w:t>“</w:t>
      </w:r>
      <w:r w:rsidR="00592830" w:rsidRPr="00AE331D">
        <w:t>Border to Coast</w:t>
      </w:r>
      <w:r w:rsidR="004C382D" w:rsidRPr="00AE331D">
        <w:t>”, or “the Pool”</w:t>
      </w:r>
      <w:r w:rsidR="00763450" w:rsidRPr="00AE331D">
        <w:t xml:space="preserve">). </w:t>
      </w:r>
      <w:r w:rsidR="00887362" w:rsidRPr="00AE331D">
        <w:t xml:space="preserve"> </w:t>
      </w:r>
      <w:r w:rsidR="00592830" w:rsidRPr="00AE331D">
        <w:t>Border to Coast</w:t>
      </w:r>
      <w:r w:rsidR="002F3955" w:rsidRPr="00AE331D">
        <w:t xml:space="preserve"> is an FCA</w:t>
      </w:r>
      <w:r w:rsidR="00592830" w:rsidRPr="00AE331D">
        <w:t xml:space="preserve"> </w:t>
      </w:r>
      <w:r w:rsidR="002F3955" w:rsidRPr="00AE331D">
        <w:t>regulated Operator and Alternative Investment Fund Manager (AIFM), that became operational in July 2018.</w:t>
      </w:r>
    </w:p>
    <w:p w14:paraId="2B20823B" w14:textId="77777777" w:rsidR="00592830" w:rsidRPr="00AE331D" w:rsidRDefault="00592830" w:rsidP="00AE331D">
      <w:pPr>
        <w:pStyle w:val="ListParagraph"/>
        <w:ind w:left="-3"/>
      </w:pPr>
    </w:p>
    <w:p w14:paraId="01BC50C4" w14:textId="77777777" w:rsidR="00592830" w:rsidRPr="00AE331D" w:rsidRDefault="00592830" w:rsidP="0005336B">
      <w:pPr>
        <w:pStyle w:val="ListParagraph"/>
        <w:numPr>
          <w:ilvl w:val="1"/>
          <w:numId w:val="47"/>
        </w:numPr>
        <w:ind w:left="142" w:hanging="568"/>
      </w:pPr>
      <w:r w:rsidRPr="00AE331D">
        <w:t>Border to Coast is a partnership of the administering authorities of the following LGPS Funds:</w:t>
      </w:r>
    </w:p>
    <w:p w14:paraId="30731A23" w14:textId="77777777" w:rsidR="00592830" w:rsidRDefault="00592830" w:rsidP="00AE331D">
      <w:pPr>
        <w:rPr>
          <w:rFonts w:cs="Arial"/>
        </w:rPr>
      </w:pPr>
    </w:p>
    <w:p w14:paraId="4ABE8DA1" w14:textId="77777777" w:rsidR="002F3955" w:rsidRPr="008B65C7" w:rsidRDefault="002F3955" w:rsidP="00AE331D">
      <w:pPr>
        <w:pStyle w:val="ListParagraph"/>
        <w:numPr>
          <w:ilvl w:val="0"/>
          <w:numId w:val="38"/>
        </w:numPr>
        <w:rPr>
          <w:rFonts w:cs="Arial"/>
        </w:rPr>
      </w:pPr>
      <w:r w:rsidRPr="008B65C7">
        <w:rPr>
          <w:rFonts w:cs="Arial"/>
        </w:rPr>
        <w:t>Bedfordshire Pension Fund</w:t>
      </w:r>
    </w:p>
    <w:p w14:paraId="0B4C2CF6" w14:textId="77777777" w:rsidR="002F3955" w:rsidRPr="00AE331D" w:rsidRDefault="002F3955" w:rsidP="00AE331D">
      <w:pPr>
        <w:pStyle w:val="ListParagraph"/>
        <w:numPr>
          <w:ilvl w:val="0"/>
          <w:numId w:val="38"/>
        </w:numPr>
        <w:rPr>
          <w:rFonts w:cs="Arial"/>
        </w:rPr>
      </w:pPr>
      <w:r w:rsidRPr="00AE331D">
        <w:rPr>
          <w:rFonts w:cs="Arial"/>
        </w:rPr>
        <w:t>Cumbria Pension Fund</w:t>
      </w:r>
    </w:p>
    <w:p w14:paraId="04659A2F" w14:textId="77777777" w:rsidR="002F3955" w:rsidRPr="00AE331D" w:rsidRDefault="002F3955" w:rsidP="00AE331D">
      <w:pPr>
        <w:pStyle w:val="ListParagraph"/>
        <w:numPr>
          <w:ilvl w:val="0"/>
          <w:numId w:val="38"/>
        </w:numPr>
        <w:rPr>
          <w:rFonts w:cs="Arial"/>
        </w:rPr>
      </w:pPr>
      <w:r w:rsidRPr="00AE331D">
        <w:rPr>
          <w:rFonts w:cs="Arial"/>
        </w:rPr>
        <w:t>Durham Pension Fund</w:t>
      </w:r>
    </w:p>
    <w:p w14:paraId="48D8B51F" w14:textId="77777777" w:rsidR="002F3955" w:rsidRPr="00AE331D" w:rsidRDefault="002F3955" w:rsidP="00AE331D">
      <w:pPr>
        <w:pStyle w:val="ListParagraph"/>
        <w:numPr>
          <w:ilvl w:val="0"/>
          <w:numId w:val="38"/>
        </w:numPr>
        <w:rPr>
          <w:rFonts w:cs="Arial"/>
        </w:rPr>
      </w:pPr>
      <w:r w:rsidRPr="00AE331D">
        <w:rPr>
          <w:rFonts w:cs="Arial"/>
        </w:rPr>
        <w:t>East Riding Pension Fund</w:t>
      </w:r>
    </w:p>
    <w:p w14:paraId="3CA93B02" w14:textId="77777777" w:rsidR="002F3955" w:rsidRPr="00AE331D" w:rsidRDefault="002F3955" w:rsidP="00AE331D">
      <w:pPr>
        <w:pStyle w:val="ListParagraph"/>
        <w:numPr>
          <w:ilvl w:val="0"/>
          <w:numId w:val="38"/>
        </w:numPr>
        <w:rPr>
          <w:rFonts w:cs="Arial"/>
        </w:rPr>
      </w:pPr>
      <w:r w:rsidRPr="00AE331D">
        <w:rPr>
          <w:rFonts w:cs="Arial"/>
        </w:rPr>
        <w:t>Lincolnshire Pension Fund</w:t>
      </w:r>
    </w:p>
    <w:p w14:paraId="43497FE9" w14:textId="77777777" w:rsidR="002F3955" w:rsidRPr="00AE331D" w:rsidRDefault="002F3955" w:rsidP="00AE331D">
      <w:pPr>
        <w:pStyle w:val="ListParagraph"/>
        <w:numPr>
          <w:ilvl w:val="0"/>
          <w:numId w:val="38"/>
        </w:numPr>
        <w:rPr>
          <w:rFonts w:cs="Arial"/>
        </w:rPr>
      </w:pPr>
      <w:r w:rsidRPr="00AE331D">
        <w:rPr>
          <w:rFonts w:cs="Arial"/>
        </w:rPr>
        <w:t>North Yorkshire Pension Fund</w:t>
      </w:r>
    </w:p>
    <w:p w14:paraId="75BCF2B8" w14:textId="77777777" w:rsidR="002F3955" w:rsidRPr="00AE331D" w:rsidRDefault="002F3955" w:rsidP="00AE331D">
      <w:pPr>
        <w:pStyle w:val="ListParagraph"/>
        <w:numPr>
          <w:ilvl w:val="0"/>
          <w:numId w:val="38"/>
        </w:numPr>
        <w:rPr>
          <w:rFonts w:cs="Arial"/>
        </w:rPr>
      </w:pPr>
      <w:r w:rsidRPr="00AE331D">
        <w:rPr>
          <w:rFonts w:cs="Arial"/>
        </w:rPr>
        <w:t>South Yorkshire Pension</w:t>
      </w:r>
      <w:r w:rsidR="00592830" w:rsidRPr="00AE331D">
        <w:rPr>
          <w:rFonts w:cs="Arial"/>
        </w:rPr>
        <w:t>s Authority</w:t>
      </w:r>
    </w:p>
    <w:p w14:paraId="6CB87E51" w14:textId="77777777" w:rsidR="002F3955" w:rsidRPr="00AE331D" w:rsidRDefault="002F3955" w:rsidP="00AE331D">
      <w:pPr>
        <w:pStyle w:val="ListParagraph"/>
        <w:numPr>
          <w:ilvl w:val="0"/>
          <w:numId w:val="38"/>
        </w:numPr>
        <w:rPr>
          <w:rFonts w:cs="Arial"/>
        </w:rPr>
      </w:pPr>
      <w:r w:rsidRPr="00AE331D">
        <w:rPr>
          <w:rFonts w:cs="Arial"/>
        </w:rPr>
        <w:t>Surrey Pension Fund</w:t>
      </w:r>
    </w:p>
    <w:p w14:paraId="7CD2E4D4" w14:textId="77777777" w:rsidR="002F3955" w:rsidRPr="00AE331D" w:rsidRDefault="002F3955" w:rsidP="00AE331D">
      <w:pPr>
        <w:pStyle w:val="ListParagraph"/>
        <w:numPr>
          <w:ilvl w:val="0"/>
          <w:numId w:val="38"/>
        </w:numPr>
        <w:rPr>
          <w:rFonts w:cs="Arial"/>
        </w:rPr>
      </w:pPr>
      <w:r w:rsidRPr="00AE331D">
        <w:rPr>
          <w:rFonts w:cs="Arial"/>
        </w:rPr>
        <w:t>Teesside Pension Fund</w:t>
      </w:r>
    </w:p>
    <w:p w14:paraId="41A19F83" w14:textId="77777777" w:rsidR="002F3955" w:rsidRPr="00AE331D" w:rsidRDefault="002F3955" w:rsidP="00AE331D">
      <w:pPr>
        <w:pStyle w:val="ListParagraph"/>
        <w:numPr>
          <w:ilvl w:val="0"/>
          <w:numId w:val="38"/>
        </w:numPr>
        <w:rPr>
          <w:rFonts w:cs="Arial"/>
        </w:rPr>
      </w:pPr>
      <w:r w:rsidRPr="00AE331D">
        <w:rPr>
          <w:rFonts w:cs="Arial"/>
        </w:rPr>
        <w:t>Tyne &amp; Wear Pension Fund</w:t>
      </w:r>
    </w:p>
    <w:p w14:paraId="70714039" w14:textId="77777777" w:rsidR="002F3955" w:rsidRPr="00AE331D" w:rsidRDefault="002F3955" w:rsidP="00AE331D">
      <w:pPr>
        <w:pStyle w:val="ListParagraph"/>
        <w:numPr>
          <w:ilvl w:val="0"/>
          <w:numId w:val="38"/>
        </w:numPr>
        <w:rPr>
          <w:rFonts w:cs="Arial"/>
        </w:rPr>
      </w:pPr>
      <w:r w:rsidRPr="00AE331D">
        <w:rPr>
          <w:rFonts w:cs="Arial"/>
        </w:rPr>
        <w:t>Warwickshire Pension Fund</w:t>
      </w:r>
    </w:p>
    <w:p w14:paraId="43B9D087" w14:textId="2A87867E" w:rsidR="00887362" w:rsidRDefault="00887362">
      <w:pPr>
        <w:jc w:val="left"/>
        <w:rPr>
          <w:rFonts w:cs="Arial"/>
        </w:rPr>
      </w:pPr>
    </w:p>
    <w:p w14:paraId="4A81B4C4" w14:textId="77777777" w:rsidR="008E555F" w:rsidRDefault="009D291F" w:rsidP="0005336B">
      <w:pPr>
        <w:pStyle w:val="ListParagraph"/>
        <w:numPr>
          <w:ilvl w:val="1"/>
          <w:numId w:val="47"/>
        </w:numPr>
        <w:ind w:left="142" w:hanging="568"/>
      </w:pPr>
      <w:r w:rsidRPr="00AD79A1">
        <w:t>The Fund retains responsibility for determining the investment strategy and asset allocation</w:t>
      </w:r>
      <w:r w:rsidR="00FE0AC5" w:rsidRPr="00AE331D">
        <w:t>,</w:t>
      </w:r>
      <w:r w:rsidR="009A7358" w:rsidRPr="00AE331D">
        <w:t xml:space="preserve"> and delegates manager selection to the Pool. </w:t>
      </w:r>
      <w:r w:rsidR="00592830" w:rsidRPr="00AE331D">
        <w:t xml:space="preserve"> </w:t>
      </w:r>
      <w:r w:rsidR="009A7358" w:rsidRPr="00AE331D">
        <w:t xml:space="preserve">This ensures that the fiduciary duty </w:t>
      </w:r>
      <w:r w:rsidR="006D7172" w:rsidRPr="00AE331D">
        <w:t xml:space="preserve">for </w:t>
      </w:r>
      <w:r w:rsidR="009A7358" w:rsidRPr="00AE331D">
        <w:t xml:space="preserve">and democratic </w:t>
      </w:r>
      <w:r w:rsidR="006D7172" w:rsidRPr="00AE331D">
        <w:t>accountability</w:t>
      </w:r>
      <w:r w:rsidR="009A7358" w:rsidRPr="00AE331D">
        <w:t xml:space="preserve"> of the Fund can be maintained, whilst facilitating the delivery of cost benefits through scale.</w:t>
      </w:r>
    </w:p>
    <w:p w14:paraId="6D00A85B" w14:textId="77777777" w:rsidR="008E555F" w:rsidRPr="00AE331D" w:rsidRDefault="008E555F" w:rsidP="00AE331D">
      <w:pPr>
        <w:pStyle w:val="ListParagraph"/>
        <w:ind w:left="-3"/>
      </w:pPr>
    </w:p>
    <w:p w14:paraId="4D478D24" w14:textId="77777777" w:rsidR="00BF34D0" w:rsidRPr="00AE331D" w:rsidRDefault="00BF34D0" w:rsidP="00437EBC">
      <w:pPr>
        <w:pStyle w:val="ListParagraph"/>
        <w:numPr>
          <w:ilvl w:val="1"/>
          <w:numId w:val="47"/>
        </w:numPr>
        <w:ind w:left="142" w:hanging="568"/>
      </w:pPr>
      <w:r w:rsidRPr="00AE331D">
        <w:t>The governance structure of the Pool is as follows:</w:t>
      </w:r>
    </w:p>
    <w:p w14:paraId="4CFE6F13" w14:textId="77777777" w:rsidR="00BF34D0" w:rsidRDefault="00BF34D0" w:rsidP="00AE331D">
      <w:pPr>
        <w:rPr>
          <w:rFonts w:cs="Arial"/>
        </w:rPr>
      </w:pPr>
    </w:p>
    <w:p w14:paraId="57F8134D" w14:textId="77777777" w:rsidR="00BF34D0" w:rsidRDefault="00B21254" w:rsidP="00AE331D">
      <w:pPr>
        <w:rPr>
          <w:rFonts w:cs="Arial"/>
        </w:rPr>
      </w:pPr>
      <w:r w:rsidRPr="00C0239E">
        <w:rPr>
          <w:noProof/>
          <w:lang w:eastAsia="en-GB"/>
        </w:rPr>
        <w:lastRenderedPageBreak/>
        <w:drawing>
          <wp:inline distT="0" distB="0" distL="0" distR="0" wp14:anchorId="6DEF9C2C" wp14:editId="1C4738F3">
            <wp:extent cx="5941060" cy="3708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1060" cy="3708400"/>
                    </a:xfrm>
                    <a:prstGeom prst="rect">
                      <a:avLst/>
                    </a:prstGeom>
                    <a:noFill/>
                    <a:ln>
                      <a:noFill/>
                    </a:ln>
                  </pic:spPr>
                </pic:pic>
              </a:graphicData>
            </a:graphic>
          </wp:inline>
        </w:drawing>
      </w:r>
    </w:p>
    <w:p w14:paraId="63096449" w14:textId="77777777" w:rsidR="00887362" w:rsidRDefault="00887362" w:rsidP="00AE331D">
      <w:pPr>
        <w:rPr>
          <w:rFonts w:cs="Arial"/>
        </w:rPr>
      </w:pPr>
    </w:p>
    <w:p w14:paraId="4B107D03" w14:textId="77777777" w:rsidR="00CA2D02" w:rsidRPr="00AE331D" w:rsidRDefault="00CA2D02" w:rsidP="00437EBC">
      <w:pPr>
        <w:pStyle w:val="ListParagraph"/>
        <w:numPr>
          <w:ilvl w:val="1"/>
          <w:numId w:val="47"/>
        </w:numPr>
        <w:ind w:left="142" w:hanging="568"/>
      </w:pPr>
      <w:r w:rsidRPr="00AE331D">
        <w:t>The Fund will hold the Pool to account through the following mechanisms:</w:t>
      </w:r>
    </w:p>
    <w:p w14:paraId="5298B6AD" w14:textId="77777777" w:rsidR="00592830" w:rsidRDefault="00592830" w:rsidP="00AE331D">
      <w:pPr>
        <w:rPr>
          <w:rFonts w:cs="Arial"/>
        </w:rPr>
      </w:pPr>
    </w:p>
    <w:p w14:paraId="47A4FBD7" w14:textId="77777777" w:rsidR="00CA2D02" w:rsidRPr="00AE331D" w:rsidRDefault="00CA2D02" w:rsidP="00AE331D">
      <w:pPr>
        <w:pStyle w:val="ListParagraph"/>
        <w:numPr>
          <w:ilvl w:val="0"/>
          <w:numId w:val="39"/>
        </w:numPr>
        <w:rPr>
          <w:rFonts w:cs="Arial"/>
        </w:rPr>
      </w:pPr>
      <w:r w:rsidRPr="00AE331D">
        <w:rPr>
          <w:rFonts w:cs="Arial"/>
        </w:rPr>
        <w:t xml:space="preserve">A </w:t>
      </w:r>
      <w:r w:rsidR="00FE0AC5" w:rsidRPr="00AE331D">
        <w:rPr>
          <w:rFonts w:cs="Arial"/>
        </w:rPr>
        <w:t xml:space="preserve">shareholding in Border to Coast with </w:t>
      </w:r>
      <w:r w:rsidRPr="00AE331D">
        <w:rPr>
          <w:rFonts w:cs="Arial"/>
        </w:rPr>
        <w:t>voting rights</w:t>
      </w:r>
      <w:r w:rsidR="00FE0AC5" w:rsidRPr="00AE331D">
        <w:rPr>
          <w:rFonts w:cs="Arial"/>
        </w:rPr>
        <w:t xml:space="preserve"> </w:t>
      </w:r>
      <w:r w:rsidR="00EB1622" w:rsidRPr="00AE331D">
        <w:rPr>
          <w:rFonts w:cs="Arial"/>
        </w:rPr>
        <w:t xml:space="preserve">of equal weight </w:t>
      </w:r>
      <w:r w:rsidR="00FE0AC5" w:rsidRPr="00AE331D">
        <w:rPr>
          <w:rFonts w:cs="Arial"/>
        </w:rPr>
        <w:t>to the other ten partner funds</w:t>
      </w:r>
      <w:r w:rsidRPr="00AE331D">
        <w:rPr>
          <w:rFonts w:cs="Arial"/>
        </w:rPr>
        <w:t xml:space="preserve">, </w:t>
      </w:r>
      <w:r w:rsidR="00FE0AC5" w:rsidRPr="00AE331D">
        <w:rPr>
          <w:rFonts w:cs="Arial"/>
        </w:rPr>
        <w:t>enabling</w:t>
      </w:r>
      <w:r w:rsidRPr="00AE331D">
        <w:rPr>
          <w:rFonts w:cs="Arial"/>
        </w:rPr>
        <w:t xml:space="preserve"> oversight and control of the corporate operations of </w:t>
      </w:r>
      <w:r w:rsidR="00592830" w:rsidRPr="00AE331D">
        <w:rPr>
          <w:rFonts w:cs="Arial"/>
        </w:rPr>
        <w:t>Border to Coast</w:t>
      </w:r>
    </w:p>
    <w:p w14:paraId="1F5E3DA6" w14:textId="77777777" w:rsidR="00CA2D02" w:rsidRPr="00AE331D" w:rsidRDefault="00CA2D02" w:rsidP="00AE331D">
      <w:pPr>
        <w:pStyle w:val="ListParagraph"/>
        <w:numPr>
          <w:ilvl w:val="0"/>
          <w:numId w:val="39"/>
        </w:numPr>
        <w:rPr>
          <w:rFonts w:cs="Arial"/>
        </w:rPr>
      </w:pPr>
      <w:r w:rsidRPr="00AE331D">
        <w:rPr>
          <w:rFonts w:cs="Arial"/>
        </w:rPr>
        <w:t xml:space="preserve">A representative on the Joint Committee which, as an investor, will monitor and oversee the investment operations of </w:t>
      </w:r>
      <w:r w:rsidR="00592830" w:rsidRPr="00AE331D">
        <w:rPr>
          <w:rFonts w:cs="Arial"/>
        </w:rPr>
        <w:t>Border to Coast</w:t>
      </w:r>
    </w:p>
    <w:p w14:paraId="7D6FDB46" w14:textId="77777777" w:rsidR="00CA2D02" w:rsidRPr="00AE331D" w:rsidRDefault="00CA2D02" w:rsidP="00AE331D">
      <w:pPr>
        <w:pStyle w:val="ListParagraph"/>
        <w:numPr>
          <w:ilvl w:val="0"/>
          <w:numId w:val="39"/>
        </w:numPr>
        <w:rPr>
          <w:rFonts w:cs="Arial"/>
        </w:rPr>
      </w:pPr>
      <w:r w:rsidRPr="00AE331D">
        <w:rPr>
          <w:rFonts w:cs="Arial"/>
        </w:rPr>
        <w:t>Officer support to the representatives above from the Officer Operations Group and the Statutory Officer Group. Day to day oversight will be provided by these officer groups.</w:t>
      </w:r>
    </w:p>
    <w:p w14:paraId="473C01B1" w14:textId="77777777" w:rsidR="00CA2D02" w:rsidRDefault="00CA2D02" w:rsidP="00AE331D">
      <w:pPr>
        <w:rPr>
          <w:rFonts w:cs="Arial"/>
        </w:rPr>
      </w:pPr>
    </w:p>
    <w:p w14:paraId="6419C77A" w14:textId="434BA8AD" w:rsidR="00DA1B25" w:rsidRPr="00AE331D" w:rsidRDefault="00A97ED7" w:rsidP="00437EBC">
      <w:pPr>
        <w:pStyle w:val="ListParagraph"/>
        <w:numPr>
          <w:ilvl w:val="1"/>
          <w:numId w:val="47"/>
        </w:numPr>
        <w:ind w:left="142" w:hanging="568"/>
      </w:pPr>
      <w:r w:rsidRPr="00AE331D">
        <w:t>It</w:t>
      </w:r>
      <w:r w:rsidR="00887362" w:rsidRPr="00AE331D">
        <w:t xml:space="preserve"> is expected that </w:t>
      </w:r>
      <w:r w:rsidR="001F5884" w:rsidRPr="00AE331D">
        <w:t>all</w:t>
      </w:r>
      <w:r w:rsidR="000F31E3" w:rsidRPr="00AE331D">
        <w:t xml:space="preserve"> </w:t>
      </w:r>
      <w:r w:rsidR="00887362" w:rsidRPr="00AE331D">
        <w:t>NYPF’s assets will be transitioned into the Pool</w:t>
      </w:r>
      <w:r w:rsidR="00FE0AC5" w:rsidRPr="00AE331D">
        <w:t>,</w:t>
      </w:r>
      <w:r w:rsidR="00887362" w:rsidRPr="00AE331D">
        <w:t xml:space="preserve"> once suitable sub-funds are in place</w:t>
      </w:r>
      <w:r w:rsidR="00B976B4" w:rsidRPr="00AE331D">
        <w:t xml:space="preserve">. </w:t>
      </w:r>
      <w:r w:rsidR="00592830" w:rsidRPr="00AE331D">
        <w:t xml:space="preserve"> </w:t>
      </w:r>
      <w:r w:rsidR="00EB1622" w:rsidRPr="00AE331D">
        <w:t xml:space="preserve">This process is expected to take </w:t>
      </w:r>
      <w:r w:rsidR="001F5884" w:rsidRPr="00AE331D">
        <w:t>several</w:t>
      </w:r>
      <w:r w:rsidR="00EB1622" w:rsidRPr="00AE331D">
        <w:t xml:space="preserve"> years.  </w:t>
      </w:r>
      <w:r w:rsidR="00B976B4" w:rsidRPr="00AE331D">
        <w:t>The key criteri</w:t>
      </w:r>
      <w:r w:rsidR="00536160" w:rsidRPr="00AE331D">
        <w:t>a for the assessment of the</w:t>
      </w:r>
      <w:r w:rsidR="00B976B4" w:rsidRPr="00AE331D">
        <w:t xml:space="preserve"> sub-funds</w:t>
      </w:r>
      <w:r w:rsidR="00536160" w:rsidRPr="00AE331D">
        <w:t xml:space="preserve"> offered by the Pool</w:t>
      </w:r>
      <w:r w:rsidR="00B976B4" w:rsidRPr="00AE331D">
        <w:t xml:space="preserve"> are that </w:t>
      </w:r>
      <w:r w:rsidR="00536160" w:rsidRPr="00AE331D">
        <w:t>they provide</w:t>
      </w:r>
      <w:r w:rsidR="00B976B4" w:rsidRPr="00AE331D">
        <w:t xml:space="preserve"> suitable solution</w:t>
      </w:r>
      <w:r w:rsidR="00D8150D" w:rsidRPr="00AE331D">
        <w:t>s</w:t>
      </w:r>
      <w:r w:rsidR="00B976B4" w:rsidRPr="00AE331D">
        <w:t xml:space="preserve"> that meet the investment objectives and asset allocation strategy of the Fund and that there </w:t>
      </w:r>
      <w:r w:rsidR="00D8150D" w:rsidRPr="00AE331D">
        <w:t>are</w:t>
      </w:r>
      <w:r w:rsidR="00B976B4" w:rsidRPr="00AE331D">
        <w:t xml:space="preserve"> significant financial benefit</w:t>
      </w:r>
      <w:r w:rsidR="00D8150D" w:rsidRPr="00AE331D">
        <w:t>s in</w:t>
      </w:r>
      <w:r w:rsidR="00B976B4" w:rsidRPr="00AE331D">
        <w:t xml:space="preserve"> </w:t>
      </w:r>
      <w:r w:rsidR="00536160" w:rsidRPr="00AE331D">
        <w:t>investing</w:t>
      </w:r>
      <w:r w:rsidR="00B976B4" w:rsidRPr="00AE331D">
        <w:t>.</w:t>
      </w:r>
      <w:r w:rsidR="00592830" w:rsidRPr="00AE331D">
        <w:t xml:space="preserve"> </w:t>
      </w:r>
      <w:r w:rsidR="00536160" w:rsidRPr="00AE331D">
        <w:t xml:space="preserve"> The Fund undertakes due diligence prior to investment to ensure that the interests of NYPF </w:t>
      </w:r>
      <w:r w:rsidR="00A544E4" w:rsidRPr="00AE331D">
        <w:t>are met</w:t>
      </w:r>
      <w:r w:rsidR="00536160" w:rsidRPr="00AE331D">
        <w:t>.</w:t>
      </w:r>
      <w:r w:rsidR="00B976B4" w:rsidRPr="00AE331D">
        <w:t xml:space="preserve"> </w:t>
      </w:r>
      <w:r w:rsidR="00592830" w:rsidRPr="00AE331D">
        <w:t xml:space="preserve"> </w:t>
      </w:r>
      <w:r w:rsidR="00536160" w:rsidRPr="00AE331D">
        <w:t>C</w:t>
      </w:r>
      <w:r w:rsidR="008224B1" w:rsidRPr="00AE331D">
        <w:t xml:space="preserve">ertain </w:t>
      </w:r>
      <w:r w:rsidR="00887362" w:rsidRPr="00AE331D">
        <w:t>illiquid investments</w:t>
      </w:r>
      <w:r w:rsidR="00736A4C" w:rsidRPr="00AE331D">
        <w:t xml:space="preserve"> </w:t>
      </w:r>
      <w:r w:rsidR="00FE0AC5" w:rsidRPr="00AE331D">
        <w:t>will</w:t>
      </w:r>
      <w:r w:rsidR="00887362" w:rsidRPr="00AE331D">
        <w:t xml:space="preserve"> be </w:t>
      </w:r>
      <w:r w:rsidR="004C382D" w:rsidRPr="00AE331D">
        <w:t>retained by NYPF</w:t>
      </w:r>
      <w:r w:rsidR="00554F44" w:rsidRPr="00AE331D">
        <w:t xml:space="preserve"> until they are fully realised</w:t>
      </w:r>
      <w:r w:rsidR="004C382D" w:rsidRPr="00AE331D">
        <w:t xml:space="preserve">.  </w:t>
      </w:r>
      <w:r w:rsidR="000F31E3" w:rsidRPr="00AE331D">
        <w:t xml:space="preserve">The legal structures of these illiquid assets are such that it </w:t>
      </w:r>
      <w:r w:rsidR="009E2CDE" w:rsidRPr="00AE331D">
        <w:t>may</w:t>
      </w:r>
      <w:r w:rsidR="000F31E3" w:rsidRPr="00AE331D">
        <w:t xml:space="preserve"> not </w:t>
      </w:r>
      <w:r w:rsidR="009E2CDE" w:rsidRPr="00AE331D">
        <w:t xml:space="preserve">be </w:t>
      </w:r>
      <w:r w:rsidR="000F31E3" w:rsidRPr="00AE331D">
        <w:t xml:space="preserve">practical to transfer ownership without a substantial loss in value.  </w:t>
      </w:r>
      <w:r w:rsidR="00811914" w:rsidRPr="00AE331D">
        <w:t xml:space="preserve">The Fund will continually monitor assets that are held outside of the Pool to ensure that </w:t>
      </w:r>
      <w:r w:rsidR="00D8150D" w:rsidRPr="00AE331D">
        <w:t>this</w:t>
      </w:r>
      <w:r w:rsidR="00811914" w:rsidRPr="00AE331D">
        <w:t xml:space="preserve"> continues to be </w:t>
      </w:r>
      <w:r w:rsidR="00A544E4" w:rsidRPr="00AE331D">
        <w:t>appropriate</w:t>
      </w:r>
      <w:r w:rsidR="00811914" w:rsidRPr="00AE331D">
        <w:t xml:space="preserve"> and</w:t>
      </w:r>
      <w:r w:rsidR="008C0333" w:rsidRPr="00AE331D">
        <w:t xml:space="preserve"> that</w:t>
      </w:r>
      <w:r w:rsidR="00811914" w:rsidRPr="00AE331D">
        <w:t xml:space="preserve"> value for money</w:t>
      </w:r>
      <w:r w:rsidR="00182387" w:rsidRPr="00AE331D">
        <w:t xml:space="preserve"> is </w:t>
      </w:r>
      <w:r w:rsidR="00062961" w:rsidRPr="00AE331D">
        <w:t xml:space="preserve">being </w:t>
      </w:r>
      <w:r w:rsidR="00182387" w:rsidRPr="00AE331D">
        <w:t>demonstrated</w:t>
      </w:r>
      <w:r w:rsidR="00811914" w:rsidRPr="00AE331D">
        <w:t>.</w:t>
      </w:r>
    </w:p>
    <w:p w14:paraId="4C068DE7" w14:textId="77777777" w:rsidR="000F31E3" w:rsidRPr="00AE331D" w:rsidRDefault="000F31E3" w:rsidP="00AE331D">
      <w:pPr>
        <w:pStyle w:val="ListParagraph"/>
        <w:ind w:left="-3"/>
      </w:pPr>
    </w:p>
    <w:p w14:paraId="4464BA5A" w14:textId="336D1EBA" w:rsidR="000B26FB" w:rsidRDefault="008224B1" w:rsidP="00D97277">
      <w:pPr>
        <w:pStyle w:val="ListParagraph"/>
        <w:numPr>
          <w:ilvl w:val="1"/>
          <w:numId w:val="47"/>
        </w:numPr>
        <w:ind w:left="142" w:hanging="505"/>
        <w:jc w:val="left"/>
      </w:pPr>
      <w:r w:rsidRPr="00AE331D">
        <w:t xml:space="preserve">An annual report will be submitted to the Scheme Advisory Board providing details of assets transferred into the </w:t>
      </w:r>
      <w:r w:rsidR="00A544E4" w:rsidRPr="00AE331D">
        <w:t>Pool</w:t>
      </w:r>
      <w:r w:rsidRPr="00AE331D">
        <w:t>.</w:t>
      </w:r>
    </w:p>
    <w:p w14:paraId="756C9394" w14:textId="77777777" w:rsidR="00432598" w:rsidRDefault="00432598" w:rsidP="00432598">
      <w:pPr>
        <w:pStyle w:val="ListParagraph"/>
      </w:pPr>
    </w:p>
    <w:p w14:paraId="2AAE2274" w14:textId="4AAD3721" w:rsidR="00AF0955" w:rsidRDefault="00E8204B" w:rsidP="00D97277">
      <w:pPr>
        <w:pStyle w:val="ListParagraph"/>
        <w:numPr>
          <w:ilvl w:val="1"/>
          <w:numId w:val="47"/>
        </w:numPr>
        <w:ind w:left="142" w:hanging="505"/>
        <w:jc w:val="left"/>
      </w:pPr>
      <w:r>
        <w:t xml:space="preserve">New regulations and guidance are expected to follow </w:t>
      </w:r>
      <w:hyperlink r:id="rId14" w:history="1">
        <w:r w:rsidRPr="00B654C1">
          <w:rPr>
            <w:rStyle w:val="Hyperlink"/>
          </w:rPr>
          <w:t xml:space="preserve">the </w:t>
        </w:r>
        <w:r w:rsidR="00D606CD" w:rsidRPr="00B654C1">
          <w:rPr>
            <w:rStyle w:val="Hyperlink"/>
          </w:rPr>
          <w:t>G</w:t>
        </w:r>
        <w:r w:rsidRPr="00B654C1">
          <w:rPr>
            <w:rStyle w:val="Hyperlink"/>
          </w:rPr>
          <w:t>overnment’s conclusion</w:t>
        </w:r>
        <w:r w:rsidR="00D606CD" w:rsidRPr="00B654C1">
          <w:rPr>
            <w:rStyle w:val="Hyperlink"/>
          </w:rPr>
          <w:t xml:space="preserve"> from the Fit for the future consultation process</w:t>
        </w:r>
      </w:hyperlink>
      <w:r w:rsidR="00DD181C">
        <w:t xml:space="preserve">.  This will need to be reflected in </w:t>
      </w:r>
      <w:r w:rsidR="009E4F06">
        <w:t xml:space="preserve">the Investment Strategy Statement, although the </w:t>
      </w:r>
      <w:r w:rsidR="006935F2">
        <w:t>F</w:t>
      </w:r>
      <w:r w:rsidR="009E4F06">
        <w:t>und’s arrangements are already well aligned</w:t>
      </w:r>
      <w:r w:rsidR="00E5017A">
        <w:t xml:space="preserve"> with the Government’s objectives.</w:t>
      </w:r>
    </w:p>
    <w:p w14:paraId="7228BF68" w14:textId="77777777" w:rsidR="00AF0955" w:rsidRDefault="00AF0955">
      <w:pPr>
        <w:jc w:val="left"/>
      </w:pPr>
      <w:r>
        <w:br w:type="page"/>
      </w:r>
    </w:p>
    <w:p w14:paraId="42414949" w14:textId="6CD3E82B" w:rsidR="00763450" w:rsidRPr="00E31DF0" w:rsidRDefault="00A152CC" w:rsidP="0098411D">
      <w:pPr>
        <w:pStyle w:val="Heading1"/>
      </w:pPr>
      <w:bookmarkStart w:id="6" w:name="_Toc168642802"/>
      <w:r>
        <w:lastRenderedPageBreak/>
        <w:t>7.0</w:t>
      </w:r>
      <w:r w:rsidR="00762660">
        <w:tab/>
      </w:r>
      <w:r w:rsidR="00556F66" w:rsidRPr="00E31DF0">
        <w:t xml:space="preserve">How social, environmental or corporate governance considerations are </w:t>
      </w:r>
      <w:r w:rsidR="00AE04D3" w:rsidRPr="00E31DF0">
        <w:t>considered</w:t>
      </w:r>
      <w:r w:rsidR="00556F66">
        <w:t xml:space="preserve"> </w:t>
      </w:r>
      <w:r w:rsidR="00556F66" w:rsidRPr="00E31DF0">
        <w:t>in the selection, non-selection, retention and realisation of investments</w:t>
      </w:r>
      <w:bookmarkEnd w:id="6"/>
    </w:p>
    <w:p w14:paraId="5DA54E02" w14:textId="77777777" w:rsidR="002963AA" w:rsidRPr="00E31DF0" w:rsidRDefault="0041345F" w:rsidP="00AE331D">
      <w:pPr>
        <w:rPr>
          <w:rFonts w:cs="Arial"/>
        </w:rPr>
      </w:pPr>
      <w:r w:rsidRPr="00E31DF0">
        <w:rPr>
          <w:rFonts w:cs="Arial"/>
        </w:rPr>
        <w:tab/>
      </w:r>
    </w:p>
    <w:p w14:paraId="28E75614" w14:textId="48AEC440" w:rsidR="00EF2B3E" w:rsidRDefault="00762660" w:rsidP="00762660">
      <w:pPr>
        <w:ind w:left="142" w:hanging="568"/>
      </w:pPr>
      <w:r>
        <w:t xml:space="preserve">7.1 </w:t>
      </w:r>
      <w:r>
        <w:tab/>
      </w:r>
      <w:r w:rsidR="00E31DF0" w:rsidRPr="00882B56">
        <w:t>The PFC takes the view that its overriding obligation is to act in the best fin</w:t>
      </w:r>
      <w:r w:rsidR="00E31DF0">
        <w:t>ancial interests of the Scheme and its</w:t>
      </w:r>
      <w:r w:rsidR="00E31DF0" w:rsidRPr="00882B56">
        <w:t xml:space="preserve"> beneficiaries.</w:t>
      </w:r>
      <w:r w:rsidR="00E31DF0">
        <w:t xml:space="preserve">  </w:t>
      </w:r>
      <w:r w:rsidR="00EF2B3E">
        <w:t xml:space="preserve">It </w:t>
      </w:r>
      <w:r w:rsidR="00EF2B3E" w:rsidRPr="00AD79A1">
        <w:t xml:space="preserve">is recognised that ESG factors can influence long term investment performance and the ability to achieve long term sustainable returns.  </w:t>
      </w:r>
      <w:r w:rsidR="00715EEF" w:rsidRPr="00AD79A1">
        <w:t>Investment advice received by the Fund implicitly incl</w:t>
      </w:r>
      <w:r w:rsidR="00715EEF" w:rsidRPr="00AE331D">
        <w:t xml:space="preserve">udes </w:t>
      </w:r>
      <w:r w:rsidR="00FC7537" w:rsidRPr="00AE331D">
        <w:t xml:space="preserve">consideration of </w:t>
      </w:r>
      <w:r w:rsidR="00715EEF" w:rsidRPr="00AE331D">
        <w:t xml:space="preserve">these factors.  </w:t>
      </w:r>
      <w:r w:rsidR="00EF2B3E" w:rsidRPr="00AE331D">
        <w:t xml:space="preserve">Therefore, </w:t>
      </w:r>
      <w:r w:rsidR="00E31DF0" w:rsidRPr="00882B56">
        <w:t xml:space="preserve">as a responsible investor, </w:t>
      </w:r>
      <w:r w:rsidR="00EF2B3E">
        <w:t>the Committee</w:t>
      </w:r>
      <w:r w:rsidR="00E31DF0" w:rsidRPr="00882B56">
        <w:t xml:space="preserve"> </w:t>
      </w:r>
      <w:r w:rsidR="00EB1622">
        <w:t xml:space="preserve">and the Fund’s managers </w:t>
      </w:r>
      <w:r w:rsidR="00E31DF0" w:rsidRPr="00882B56">
        <w:t>wish to promote corporate social responsibility, good practice and improved performance amongst all companies in which it invests.</w:t>
      </w:r>
    </w:p>
    <w:p w14:paraId="4DDE04BF" w14:textId="77777777" w:rsidR="00EB1622" w:rsidRDefault="00EB1622" w:rsidP="00762660">
      <w:pPr>
        <w:pStyle w:val="ListParagraph"/>
        <w:ind w:left="-3" w:hanging="426"/>
      </w:pPr>
    </w:p>
    <w:p w14:paraId="5968F82A" w14:textId="4022A545" w:rsidR="00EB1622" w:rsidRDefault="00762660" w:rsidP="00762660">
      <w:pPr>
        <w:pStyle w:val="ListParagraph"/>
        <w:ind w:left="142" w:hanging="568"/>
      </w:pPr>
      <w:r>
        <w:t xml:space="preserve">7.2 </w:t>
      </w:r>
      <w:r>
        <w:tab/>
      </w:r>
      <w:r w:rsidR="006541BF">
        <w:t>T</w:t>
      </w:r>
      <w:r w:rsidR="00EB1622" w:rsidRPr="00AD79A1">
        <w:t xml:space="preserve">he consideration of ESG factors </w:t>
      </w:r>
      <w:r w:rsidR="00AE04D3" w:rsidRPr="00AD79A1">
        <w:t>is</w:t>
      </w:r>
      <w:r w:rsidR="00EB1622" w:rsidRPr="00AD79A1">
        <w:t xml:space="preserve"> incorporated into </w:t>
      </w:r>
      <w:r w:rsidR="00291223" w:rsidRPr="00AD79A1">
        <w:t>the</w:t>
      </w:r>
      <w:r w:rsidR="00EB1622" w:rsidRPr="00AD79A1">
        <w:t xml:space="preserve"> investment managers’ investment processes.  This includes acting as a responsible investor</w:t>
      </w:r>
      <w:r w:rsidR="006541BF" w:rsidRPr="00AE331D">
        <w:t>,</w:t>
      </w:r>
      <w:r w:rsidR="00EB1622" w:rsidRPr="00AE331D">
        <w:t xml:space="preserve"> through the considered voting of shares and engaging with investee companies in relation to corporate governance standards and best practice.</w:t>
      </w:r>
    </w:p>
    <w:p w14:paraId="2716ED50" w14:textId="77777777" w:rsidR="0048077B" w:rsidRDefault="0048077B" w:rsidP="00762660">
      <w:pPr>
        <w:pStyle w:val="ListParagraph"/>
        <w:ind w:left="142" w:hanging="568"/>
      </w:pPr>
    </w:p>
    <w:p w14:paraId="12FB0DB7" w14:textId="767CD3A1" w:rsidR="0048077B" w:rsidRDefault="0048077B" w:rsidP="00762660">
      <w:pPr>
        <w:pStyle w:val="ListParagraph"/>
        <w:ind w:left="142" w:hanging="568"/>
      </w:pPr>
      <w:r>
        <w:t>7.3</w:t>
      </w:r>
      <w:r>
        <w:tab/>
      </w:r>
      <w:r w:rsidRPr="00AE331D">
        <w:t>The Fund is closely involved with Border to Coast in the development of company policies in relation to ESG issues.  This includes annual updates to Border to Coast’s Responsible Investment Policy, Corporate Governance and Voting Guidelines, and their Climate Change Policy.  NYPF also works with Border to Coast on the evolving approach to investing, such as the weight given to ESG issues in investment processes and the depth of reporting</w:t>
      </w:r>
      <w:r w:rsidR="0043401E">
        <w:t>.</w:t>
      </w:r>
      <w:r w:rsidR="0041267D" w:rsidRPr="0041267D">
        <w:t xml:space="preserve"> </w:t>
      </w:r>
      <w:r w:rsidR="0041267D">
        <w:t>This document details the consideration of financial and non-financial factors, the approach to stewardship and engagement and other associated issues.</w:t>
      </w:r>
    </w:p>
    <w:p w14:paraId="2B0548DD" w14:textId="77777777" w:rsidR="00A714E0" w:rsidRDefault="00A714E0" w:rsidP="00762660">
      <w:pPr>
        <w:pStyle w:val="ListParagraph"/>
        <w:ind w:left="142" w:hanging="568"/>
      </w:pPr>
    </w:p>
    <w:p w14:paraId="04C90574" w14:textId="5DEAF20A" w:rsidR="00A714E0" w:rsidRDefault="00762660" w:rsidP="00762660">
      <w:pPr>
        <w:pStyle w:val="ListParagraph"/>
        <w:ind w:left="142" w:hanging="568"/>
      </w:pPr>
      <w:r>
        <w:t>7.</w:t>
      </w:r>
      <w:r w:rsidR="00B31867">
        <w:t>4</w:t>
      </w:r>
      <w:r>
        <w:t xml:space="preserve"> </w:t>
      </w:r>
      <w:r>
        <w:tab/>
      </w:r>
      <w:r w:rsidR="005173F3">
        <w:t xml:space="preserve">Until now, </w:t>
      </w:r>
      <w:r w:rsidR="00B04810">
        <w:t>the Fund has had its own Responsible Investment Policy</w:t>
      </w:r>
      <w:r w:rsidR="00F53FC2">
        <w:t>.</w:t>
      </w:r>
      <w:r w:rsidR="006708A3">
        <w:t xml:space="preserve">  </w:t>
      </w:r>
      <w:r w:rsidR="00F53FC2">
        <w:t xml:space="preserve">However, </w:t>
      </w:r>
      <w:r w:rsidR="00D72DF7">
        <w:t>most of investments hav</w:t>
      </w:r>
      <w:r w:rsidR="00CB34C6">
        <w:t>e</w:t>
      </w:r>
      <w:r w:rsidR="00D72DF7">
        <w:t xml:space="preserve"> been transferred to Border to Coast,</w:t>
      </w:r>
      <w:r w:rsidR="00FE6934">
        <w:t xml:space="preserve"> and the remaining investments</w:t>
      </w:r>
      <w:r w:rsidR="00CB34C6">
        <w:t xml:space="preserve"> are</w:t>
      </w:r>
      <w:r w:rsidR="00FE6934">
        <w:t xml:space="preserve"> expected to </w:t>
      </w:r>
      <w:r w:rsidR="003D40BC">
        <w:t>be under pool management by April 2026</w:t>
      </w:r>
      <w:r w:rsidR="00344E04">
        <w:t xml:space="preserve">.  Border to Coast’s </w:t>
      </w:r>
      <w:r w:rsidR="0074510E" w:rsidRPr="00AE331D">
        <w:t>Responsible Investment Policy, Corporate Governance and Voting Guidelines</w:t>
      </w:r>
      <w:r w:rsidR="00AA43BC">
        <w:t xml:space="preserve"> document</w:t>
      </w:r>
      <w:r w:rsidR="0074510E" w:rsidRPr="00AE331D">
        <w:t>, and their Climate Change Policy</w:t>
      </w:r>
      <w:r w:rsidR="0074510E">
        <w:t xml:space="preserve"> have </w:t>
      </w:r>
      <w:r w:rsidR="007D6E06">
        <w:t xml:space="preserve">therefore </w:t>
      </w:r>
      <w:r w:rsidR="0074510E">
        <w:t>been adopt</w:t>
      </w:r>
      <w:r w:rsidR="00465518">
        <w:t>ed by the Fund</w:t>
      </w:r>
      <w:r w:rsidR="007D6E06">
        <w:t xml:space="preserve">, rather than </w:t>
      </w:r>
      <w:r w:rsidR="002E5DDB">
        <w:t xml:space="preserve">continue with a separate </w:t>
      </w:r>
      <w:r w:rsidR="00FD547C">
        <w:t xml:space="preserve">document </w:t>
      </w:r>
      <w:r w:rsidR="00A36634">
        <w:t>describing the same approach.</w:t>
      </w:r>
      <w:r w:rsidR="00D72DF7">
        <w:t xml:space="preserve"> </w:t>
      </w:r>
    </w:p>
    <w:p w14:paraId="2EE2EB57" w14:textId="77777777" w:rsidR="00EF2B3E" w:rsidRDefault="00EF2B3E" w:rsidP="00762660">
      <w:pPr>
        <w:pStyle w:val="ListParagraph"/>
        <w:ind w:left="142" w:hanging="568"/>
      </w:pPr>
    </w:p>
    <w:p w14:paraId="526B24EC" w14:textId="54BDDBD0" w:rsidR="00EF2B3E" w:rsidRPr="00AE331D" w:rsidRDefault="00762660" w:rsidP="00762660">
      <w:pPr>
        <w:pStyle w:val="ListParagraph"/>
        <w:ind w:left="142" w:hanging="568"/>
      </w:pPr>
      <w:r>
        <w:t>7.</w:t>
      </w:r>
      <w:r w:rsidR="00B31867">
        <w:t>5</w:t>
      </w:r>
      <w:r>
        <w:t xml:space="preserve"> </w:t>
      </w:r>
      <w:r>
        <w:tab/>
      </w:r>
      <w:r w:rsidR="00EF2B3E">
        <w:t xml:space="preserve">The </w:t>
      </w:r>
      <w:r w:rsidR="00EF2B3E" w:rsidRPr="00AD79A1">
        <w:t xml:space="preserve">Committee </w:t>
      </w:r>
      <w:r w:rsidR="006541BF" w:rsidRPr="00AD79A1">
        <w:t xml:space="preserve">further </w:t>
      </w:r>
      <w:r w:rsidR="00EF2B3E" w:rsidRPr="00AD79A1">
        <w:t>considers the financial impact of ESG factors on its investments</w:t>
      </w:r>
      <w:r w:rsidR="00EF2B3E" w:rsidRPr="00AE331D">
        <w:t xml:space="preserve"> through regular reporting by the Fund’s investment managers.  </w:t>
      </w:r>
      <w:r w:rsidR="001233FB" w:rsidRPr="00AE331D">
        <w:t>This includes reporting on e</w:t>
      </w:r>
      <w:r w:rsidR="00AB466D" w:rsidRPr="00AE331D">
        <w:t xml:space="preserve">ngagement with company management and voting </w:t>
      </w:r>
      <w:r w:rsidR="00FC7537" w:rsidRPr="00AE331D">
        <w:t>activity</w:t>
      </w:r>
      <w:r w:rsidR="006541BF" w:rsidRPr="00AE331D">
        <w:t>.</w:t>
      </w:r>
    </w:p>
    <w:p w14:paraId="30BF802E" w14:textId="77777777" w:rsidR="00EF2B3E" w:rsidRPr="00AE331D" w:rsidRDefault="00EF2B3E" w:rsidP="00762660">
      <w:pPr>
        <w:pStyle w:val="ListParagraph"/>
        <w:ind w:left="142" w:hanging="568"/>
      </w:pPr>
    </w:p>
    <w:p w14:paraId="1558D442" w14:textId="27C2B6FA" w:rsidR="00EF2B3E" w:rsidRPr="00AE331D" w:rsidRDefault="00762660" w:rsidP="00762660">
      <w:pPr>
        <w:pStyle w:val="ListParagraph"/>
        <w:ind w:left="142" w:hanging="568"/>
      </w:pPr>
      <w:r>
        <w:t xml:space="preserve">7.6 </w:t>
      </w:r>
      <w:r>
        <w:tab/>
      </w:r>
      <w:r w:rsidR="00E45499" w:rsidRPr="00AE331D">
        <w:t xml:space="preserve">NYPF is a member of the Local Authority Pension Fund Forum (LAPFF) which is the UK’s leading collaborative shareholder engagement group.  This organisation promotes ESG good practice on behalf of over </w:t>
      </w:r>
      <w:r w:rsidR="009109C5">
        <w:t>80</w:t>
      </w:r>
      <w:r w:rsidR="00E45499" w:rsidRPr="00AE331D">
        <w:t xml:space="preserve"> LGPS funds.  Its activity acts as a complement to that undertaken by the Fund’s investment managers.  </w:t>
      </w:r>
      <w:r w:rsidR="003B5B0F" w:rsidRPr="00AE331D">
        <w:t>Any differences in approach are discussed with the Fund’s investment managers so that the reasons are fully understood.</w:t>
      </w:r>
    </w:p>
    <w:p w14:paraId="0BD3A14D" w14:textId="77777777" w:rsidR="001233FB" w:rsidRPr="00AE331D" w:rsidRDefault="001233FB" w:rsidP="00762660">
      <w:pPr>
        <w:pStyle w:val="ListParagraph"/>
        <w:ind w:left="142" w:hanging="568"/>
      </w:pPr>
    </w:p>
    <w:p w14:paraId="50DFB8B9" w14:textId="73F264D7" w:rsidR="001233FB" w:rsidRPr="00AE331D" w:rsidRDefault="00762660" w:rsidP="00762660">
      <w:pPr>
        <w:pStyle w:val="ListParagraph"/>
        <w:ind w:left="142" w:hanging="568"/>
      </w:pPr>
      <w:r>
        <w:t xml:space="preserve">7.7 </w:t>
      </w:r>
      <w:r>
        <w:tab/>
      </w:r>
      <w:r w:rsidR="001233FB" w:rsidRPr="00AE331D">
        <w:t>The Fund’s managers are also involved in collaborations.  For example, Border to Coast is a member of the Institutional Investor Group on climate Change (IIGCC)</w:t>
      </w:r>
      <w:r w:rsidR="00795593" w:rsidRPr="00AE331D">
        <w:t xml:space="preserve"> and Climate Action 100+, and the 30% Club Investor Group which aims to improve diversity on company boards.</w:t>
      </w:r>
    </w:p>
    <w:p w14:paraId="31BE826D" w14:textId="77777777" w:rsidR="009A4AD0" w:rsidRPr="00AE331D" w:rsidRDefault="009A4AD0" w:rsidP="00762660">
      <w:pPr>
        <w:pStyle w:val="ListParagraph"/>
        <w:ind w:left="-3" w:hanging="426"/>
      </w:pPr>
    </w:p>
    <w:p w14:paraId="749E54AE" w14:textId="0341BCFF" w:rsidR="000B26FB" w:rsidRDefault="00762660" w:rsidP="006C5EF0">
      <w:pPr>
        <w:pStyle w:val="ListParagraph"/>
        <w:ind w:left="142" w:hanging="568"/>
      </w:pPr>
      <w:r>
        <w:t xml:space="preserve">7.8 </w:t>
      </w:r>
      <w:r>
        <w:tab/>
      </w:r>
      <w:r w:rsidR="009A4AD0" w:rsidRPr="00AE331D">
        <w:t xml:space="preserve">Any </w:t>
      </w:r>
      <w:r w:rsidR="00AC6763" w:rsidRPr="00AE331D">
        <w:t>evaluation</w:t>
      </w:r>
      <w:r w:rsidR="009A4AD0" w:rsidRPr="00AE331D">
        <w:t xml:space="preserve"> of </w:t>
      </w:r>
      <w:r w:rsidR="001233FB" w:rsidRPr="00AE331D">
        <w:t>impact</w:t>
      </w:r>
      <w:r w:rsidR="009A4AD0" w:rsidRPr="00AE331D">
        <w:t xml:space="preserve"> investments is made on the same basis as other investment opportunities</w:t>
      </w:r>
      <w:r w:rsidR="00AC6763" w:rsidRPr="00AE331D">
        <w:t xml:space="preserve">, in </w:t>
      </w:r>
      <w:r w:rsidR="000564DB" w:rsidRPr="00AE331D">
        <w:t>considering</w:t>
      </w:r>
      <w:r w:rsidR="009A4AD0" w:rsidRPr="00AE331D">
        <w:t xml:space="preserve"> financial and non-financial factors</w:t>
      </w:r>
      <w:r w:rsidR="00AC6763" w:rsidRPr="00AE331D">
        <w:t>.</w:t>
      </w:r>
    </w:p>
    <w:p w14:paraId="0BFC3B23" w14:textId="77777777" w:rsidR="000B26FB" w:rsidRDefault="000B26FB">
      <w:pPr>
        <w:jc w:val="left"/>
      </w:pPr>
      <w:r>
        <w:br w:type="page"/>
      </w:r>
    </w:p>
    <w:p w14:paraId="7923832E" w14:textId="206D6FA9" w:rsidR="00E30BD2" w:rsidRDefault="006C5EF0" w:rsidP="0098411D">
      <w:pPr>
        <w:pStyle w:val="Heading1"/>
      </w:pPr>
      <w:bookmarkStart w:id="7" w:name="_Toc168642803"/>
      <w:r>
        <w:lastRenderedPageBreak/>
        <w:t xml:space="preserve">8.0 </w:t>
      </w:r>
      <w:r>
        <w:tab/>
      </w:r>
      <w:r w:rsidR="00556F66">
        <w:t>The exercise of rights (including voting rights) attaching to investments</w:t>
      </w:r>
      <w:bookmarkEnd w:id="7"/>
    </w:p>
    <w:p w14:paraId="626C722C" w14:textId="77777777" w:rsidR="00E30BD2" w:rsidRPr="003B5B0F" w:rsidRDefault="00E30BD2" w:rsidP="00AE331D">
      <w:pPr>
        <w:rPr>
          <w:rFonts w:cs="Arial"/>
          <w:b/>
        </w:rPr>
      </w:pPr>
    </w:p>
    <w:p w14:paraId="3A54B3AF" w14:textId="2BF16459" w:rsidR="00D0180F" w:rsidRPr="00AD79A1" w:rsidRDefault="006C5EF0" w:rsidP="006C5EF0">
      <w:pPr>
        <w:ind w:left="142" w:hanging="568"/>
      </w:pPr>
      <w:r>
        <w:t xml:space="preserve">8.1 </w:t>
      </w:r>
      <w:r>
        <w:tab/>
      </w:r>
      <w:r w:rsidR="003B5B0F" w:rsidRPr="00AD79A1">
        <w:t>The Committee has delegated the exercise of voting r</w:t>
      </w:r>
      <w:r w:rsidR="0029682F" w:rsidRPr="00AD79A1">
        <w:t xml:space="preserve">ights to </w:t>
      </w:r>
      <w:r w:rsidR="00CA57C7" w:rsidRPr="00AE331D">
        <w:t>its external investment managers</w:t>
      </w:r>
      <w:r w:rsidR="0029682F" w:rsidRPr="00AE331D">
        <w:t xml:space="preserve">.  </w:t>
      </w:r>
      <w:r w:rsidR="00CA57C7">
        <w:t>Voting should be undertaken where it is believed to be in the best interests of the Fund.</w:t>
      </w:r>
      <w:r w:rsidR="00343381">
        <w:t xml:space="preserve">  The Fund</w:t>
      </w:r>
      <w:r w:rsidR="00CA57C7">
        <w:t>’s investment managers are required to report quarterly on their voting activities</w:t>
      </w:r>
      <w:r w:rsidR="00D0180F">
        <w:t>.</w:t>
      </w:r>
      <w:r w:rsidR="00CA57C7" w:rsidRPr="00AD79A1">
        <w:t xml:space="preserve"> As part of the Annual Report there will be a disclosure of voting activity</w:t>
      </w:r>
      <w:r w:rsidR="00D0180F" w:rsidRPr="00AD79A1">
        <w:t>.</w:t>
      </w:r>
    </w:p>
    <w:p w14:paraId="5E7E26B3" w14:textId="59B3FA1C" w:rsidR="003B5B0F" w:rsidRPr="00AE331D" w:rsidRDefault="003B5B0F">
      <w:pPr>
        <w:jc w:val="left"/>
      </w:pPr>
    </w:p>
    <w:p w14:paraId="289F90F9" w14:textId="581D9F2E" w:rsidR="00343381" w:rsidRPr="00AE331D" w:rsidRDefault="006C5EF0" w:rsidP="006C5EF0">
      <w:pPr>
        <w:pStyle w:val="ListParagraph"/>
        <w:ind w:left="142" w:hanging="568"/>
      </w:pPr>
      <w:r>
        <w:t xml:space="preserve">8.2 </w:t>
      </w:r>
      <w:r>
        <w:tab/>
      </w:r>
      <w:r w:rsidR="009109C5">
        <w:t>A</w:t>
      </w:r>
      <w:r w:rsidR="00E846A7" w:rsidRPr="00AD79A1">
        <w:t xml:space="preserve"> new Stewardship Code </w:t>
      </w:r>
      <w:r w:rsidR="00F411D0">
        <w:t>is expected to be published in 2025</w:t>
      </w:r>
      <w:r w:rsidR="003F1E78">
        <w:t xml:space="preserve"> or 2026</w:t>
      </w:r>
      <w:r w:rsidR="00E846A7" w:rsidRPr="00AD79A1">
        <w:t xml:space="preserve">.  The Fund </w:t>
      </w:r>
      <w:r w:rsidR="00C71A9F">
        <w:t>will consider</w:t>
      </w:r>
      <w:r w:rsidR="00E846A7" w:rsidRPr="00AD79A1">
        <w:t xml:space="preserve"> report</w:t>
      </w:r>
      <w:r w:rsidR="00C71A9F">
        <w:t>ing</w:t>
      </w:r>
      <w:r w:rsidR="00E846A7" w:rsidRPr="00AD79A1">
        <w:t xml:space="preserve"> against this code in </w:t>
      </w:r>
      <w:r w:rsidR="009109C5">
        <w:t>the future</w:t>
      </w:r>
      <w:r w:rsidR="00E846A7" w:rsidRPr="00AD79A1">
        <w:t xml:space="preserve">.  </w:t>
      </w:r>
      <w:r w:rsidR="00343381" w:rsidRPr="00AD79A1">
        <w:t>The Fund</w:t>
      </w:r>
      <w:r w:rsidR="003B5B0F" w:rsidRPr="00AE331D">
        <w:t xml:space="preserve"> adhere</w:t>
      </w:r>
      <w:r w:rsidR="00E846A7" w:rsidRPr="00AE331D">
        <w:t>d</w:t>
      </w:r>
      <w:r w:rsidR="003B5B0F" w:rsidRPr="00AE331D">
        <w:t xml:space="preserve"> to </w:t>
      </w:r>
      <w:r w:rsidR="001164C1">
        <w:t>an</w:t>
      </w:r>
      <w:r w:rsidR="003B5B0F" w:rsidRPr="00AE331D">
        <w:t xml:space="preserve"> </w:t>
      </w:r>
      <w:r w:rsidR="00E846A7" w:rsidRPr="00AE331D">
        <w:t xml:space="preserve">earlier </w:t>
      </w:r>
      <w:r w:rsidR="003B5B0F" w:rsidRPr="00AE331D">
        <w:t>Stewardship Code as published by the Financial Reporting Council</w:t>
      </w:r>
      <w:r w:rsidR="00D0180F" w:rsidRPr="00AE331D">
        <w:t xml:space="preserve"> and </w:t>
      </w:r>
      <w:r w:rsidR="00E846A7" w:rsidRPr="00AE331D">
        <w:t>was</w:t>
      </w:r>
      <w:r w:rsidR="00AE7B69" w:rsidRPr="00AE331D">
        <w:t xml:space="preserve"> a T</w:t>
      </w:r>
      <w:r w:rsidR="00CA57C7" w:rsidRPr="00AE331D">
        <w:t>ier 1 signatory</w:t>
      </w:r>
      <w:r w:rsidR="003B5B0F" w:rsidRPr="00AE331D">
        <w:t xml:space="preserve">. </w:t>
      </w:r>
      <w:r w:rsidR="00343381" w:rsidRPr="00AE331D">
        <w:t xml:space="preserve"> </w:t>
      </w:r>
      <w:r w:rsidR="00CA57C7" w:rsidRPr="00AE331D">
        <w:t xml:space="preserve">A Statement of Compliance with the </w:t>
      </w:r>
      <w:r w:rsidR="00F01230" w:rsidRPr="00AE331D">
        <w:t xml:space="preserve">earlier </w:t>
      </w:r>
      <w:r w:rsidR="00CA57C7" w:rsidRPr="00AE331D">
        <w:t>code</w:t>
      </w:r>
      <w:r w:rsidR="00AE7B69" w:rsidRPr="00AE331D">
        <w:t xml:space="preserve"> </w:t>
      </w:r>
      <w:r w:rsidR="00E846A7" w:rsidRPr="00AE331D">
        <w:t>will continue to be published</w:t>
      </w:r>
      <w:r w:rsidR="00CA57C7" w:rsidRPr="00AE331D">
        <w:t xml:space="preserve"> on the Fund’s website</w:t>
      </w:r>
      <w:r w:rsidR="00E846A7" w:rsidRPr="00AE331D">
        <w:t xml:space="preserve"> </w:t>
      </w:r>
      <w:r w:rsidR="00C71A9F">
        <w:t>for the time being</w:t>
      </w:r>
      <w:r w:rsidR="00E846A7" w:rsidRPr="00AE331D">
        <w:t xml:space="preserve">. </w:t>
      </w:r>
      <w:r w:rsidR="00CA57C7" w:rsidRPr="00AD79A1">
        <w:t xml:space="preserve"> </w:t>
      </w:r>
      <w:r w:rsidR="002E0E43" w:rsidRPr="00AD79A1">
        <w:t>As fund</w:t>
      </w:r>
      <w:r w:rsidR="007A3791" w:rsidRPr="00AE331D">
        <w:t>s</w:t>
      </w:r>
      <w:r w:rsidR="002E0E43" w:rsidRPr="00AE331D">
        <w:t xml:space="preserve"> transfer to the Pool, t</w:t>
      </w:r>
      <w:r w:rsidR="003B5B0F" w:rsidRPr="00AE331D">
        <w:t xml:space="preserve">he Committee </w:t>
      </w:r>
      <w:r w:rsidR="00343381" w:rsidRPr="00AE331D">
        <w:t xml:space="preserve">will </w:t>
      </w:r>
      <w:r w:rsidR="003B5B0F" w:rsidRPr="00AE331D">
        <w:t xml:space="preserve">expect both </w:t>
      </w:r>
      <w:r w:rsidR="00795593" w:rsidRPr="00AE331D">
        <w:t>Border to Coast</w:t>
      </w:r>
      <w:r w:rsidR="003B5B0F" w:rsidRPr="00AE331D">
        <w:t xml:space="preserve"> and any </w:t>
      </w:r>
      <w:r w:rsidR="00343381" w:rsidRPr="00AE331D">
        <w:t>investment</w:t>
      </w:r>
      <w:r w:rsidR="003B5B0F" w:rsidRPr="00AE331D">
        <w:t xml:space="preserve"> managers </w:t>
      </w:r>
      <w:r w:rsidR="00343381" w:rsidRPr="00AE331D">
        <w:t xml:space="preserve">appointed by it </w:t>
      </w:r>
      <w:r w:rsidR="003B5B0F" w:rsidRPr="00AE331D">
        <w:t xml:space="preserve">to comply with the </w:t>
      </w:r>
      <w:r w:rsidR="00B674BF">
        <w:t>latest</w:t>
      </w:r>
      <w:r w:rsidR="00F01230" w:rsidRPr="00AE331D">
        <w:t xml:space="preserve"> </w:t>
      </w:r>
      <w:r w:rsidR="003B5B0F" w:rsidRPr="00AE331D">
        <w:t>Stewardship Code.</w:t>
      </w:r>
    </w:p>
    <w:p w14:paraId="0C89622C" w14:textId="77777777" w:rsidR="00343381" w:rsidRPr="00AE331D" w:rsidRDefault="00343381" w:rsidP="006C5EF0">
      <w:pPr>
        <w:pStyle w:val="ListParagraph"/>
        <w:ind w:left="142" w:hanging="568"/>
      </w:pPr>
    </w:p>
    <w:p w14:paraId="0D87F0ED" w14:textId="294366F8" w:rsidR="003B5B0F" w:rsidRPr="00AE331D" w:rsidRDefault="006C5EF0" w:rsidP="006C5EF0">
      <w:pPr>
        <w:pStyle w:val="ListParagraph"/>
        <w:ind w:left="142" w:hanging="568"/>
      </w:pPr>
      <w:r>
        <w:t xml:space="preserve">8.3 </w:t>
      </w:r>
      <w:r>
        <w:tab/>
      </w:r>
      <w:r w:rsidR="00343381" w:rsidRPr="00AE331D">
        <w:t xml:space="preserve">The Fund’s </w:t>
      </w:r>
      <w:r w:rsidR="0029682F" w:rsidRPr="00AE331D">
        <w:t xml:space="preserve">collective engagement </w:t>
      </w:r>
      <w:r w:rsidR="00343381" w:rsidRPr="00AE331D">
        <w:t xml:space="preserve">activity through the LAPFF supports the voting activity undertaken by </w:t>
      </w:r>
      <w:r w:rsidR="00CA57C7" w:rsidRPr="00AE331D">
        <w:t>investment managers</w:t>
      </w:r>
      <w:r w:rsidR="00343381" w:rsidRPr="00AE331D">
        <w:t>.</w:t>
      </w:r>
    </w:p>
    <w:p w14:paraId="33327DC1" w14:textId="77777777" w:rsidR="00D0180F" w:rsidRDefault="00D0180F" w:rsidP="00AE331D">
      <w:pPr>
        <w:rPr>
          <w:rFonts w:cs="Arial"/>
        </w:rPr>
      </w:pPr>
    </w:p>
    <w:p w14:paraId="330F1DCB" w14:textId="77777777" w:rsidR="0069266C" w:rsidRDefault="0069266C" w:rsidP="00AD79A1">
      <w:pPr>
        <w:rPr>
          <w:rFonts w:cs="Arial"/>
        </w:rPr>
      </w:pPr>
    </w:p>
    <w:p w14:paraId="65F6D5ED" w14:textId="5011F829" w:rsidR="0096206B" w:rsidRPr="00C42C61" w:rsidRDefault="009109C5">
      <w:pPr>
        <w:rPr>
          <w:rFonts w:cs="Arial"/>
          <w:sz w:val="16"/>
          <w:szCs w:val="16"/>
        </w:rPr>
      </w:pPr>
      <w:r>
        <w:rPr>
          <w:rFonts w:cs="Arial"/>
        </w:rPr>
        <w:t xml:space="preserve">June </w:t>
      </w:r>
      <w:r w:rsidR="002C197E">
        <w:rPr>
          <w:rFonts w:cs="Arial"/>
        </w:rPr>
        <w:t>202</w:t>
      </w:r>
      <w:r w:rsidR="000A2062">
        <w:rPr>
          <w:rFonts w:cs="Arial"/>
        </w:rPr>
        <w:t>5</w:t>
      </w:r>
    </w:p>
    <w:sectPr w:rsidR="0096206B" w:rsidRPr="00C42C61" w:rsidSect="00556F66">
      <w:headerReference w:type="default" r:id="rId15"/>
      <w:footerReference w:type="default" r:id="rId16"/>
      <w:pgSz w:w="11907" w:h="16840" w:code="9"/>
      <w:pgMar w:top="709" w:right="1440" w:bottom="1135" w:left="1440" w:header="720" w:footer="397"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5F3C" w14:textId="77777777" w:rsidR="00661BEA" w:rsidRDefault="00661BEA">
      <w:r>
        <w:separator/>
      </w:r>
    </w:p>
  </w:endnote>
  <w:endnote w:type="continuationSeparator" w:id="0">
    <w:p w14:paraId="28D08C7E" w14:textId="77777777" w:rsidR="00661BEA" w:rsidRDefault="00661BEA">
      <w:r>
        <w:continuationSeparator/>
      </w:r>
    </w:p>
  </w:endnote>
  <w:endnote w:type="continuationNotice" w:id="1">
    <w:p w14:paraId="21D21BDB" w14:textId="77777777" w:rsidR="00661BEA" w:rsidRDefault="00661B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9DE0" w14:textId="3670EA14" w:rsidR="009C57D5" w:rsidRDefault="00AD79A1" w:rsidP="00AE331D">
    <w:pPr>
      <w:pStyle w:val="Footer"/>
      <w:tabs>
        <w:tab w:val="clear" w:pos="8640"/>
        <w:tab w:val="right" w:pos="9027"/>
      </w:tabs>
      <w:jc w:val="center"/>
      <w:rPr>
        <w:rFonts w:ascii="Arial" w:hAnsi="Arial"/>
        <w:snapToGrid w:val="0"/>
        <w:sz w:val="16"/>
      </w:rPr>
    </w:pPr>
    <w:r>
      <w:rPr>
        <w:rStyle w:val="PageNumber"/>
        <w:rFonts w:ascii="Arial" w:hAnsi="Arial"/>
      </w:rPr>
      <w:t xml:space="preserve"> </w:t>
    </w:r>
    <w:r>
      <w:rPr>
        <w:rStyle w:val="PageNumber"/>
        <w:rFonts w:ascii="Arial" w:hAnsi="Arial"/>
      </w:rPr>
      <w:tab/>
    </w:r>
    <w:r w:rsidR="009C57D5" w:rsidRPr="00AE331D">
      <w:rPr>
        <w:rStyle w:val="PageNumber"/>
        <w:rFonts w:cstheme="minorHAnsi"/>
      </w:rPr>
      <w:fldChar w:fldCharType="begin"/>
    </w:r>
    <w:r w:rsidR="009C57D5" w:rsidRPr="00AE331D">
      <w:rPr>
        <w:rStyle w:val="PageNumber"/>
        <w:rFonts w:cstheme="minorHAnsi"/>
      </w:rPr>
      <w:instrText xml:space="preserve"> PAGE </w:instrText>
    </w:r>
    <w:r w:rsidR="009C57D5" w:rsidRPr="00AE331D">
      <w:rPr>
        <w:rStyle w:val="PageNumber"/>
        <w:rFonts w:cstheme="minorHAnsi"/>
      </w:rPr>
      <w:fldChar w:fldCharType="separate"/>
    </w:r>
    <w:r w:rsidR="00C95B7A">
      <w:rPr>
        <w:rStyle w:val="PageNumber"/>
        <w:rFonts w:cstheme="minorHAnsi"/>
        <w:noProof/>
      </w:rPr>
      <w:t>1</w:t>
    </w:r>
    <w:r w:rsidR="009C57D5" w:rsidRPr="00AE331D">
      <w:rPr>
        <w:rStyle w:val="PageNumber"/>
        <w:rFonts w:cstheme="minorHAnsi"/>
      </w:rPr>
      <w:fldChar w:fldCharType="end"/>
    </w:r>
    <w:r>
      <w:rPr>
        <w:rStyle w:val="PageNumber"/>
        <w:rFonts w:ascii="Arial" w:hAnsi="Arial"/>
      </w:rPr>
      <w:tab/>
    </w:r>
    <w:r w:rsidR="00B14215" w:rsidRPr="00AE331D">
      <w:rPr>
        <w:rStyle w:val="PageNumber"/>
        <w:rFonts w:cstheme="minorHAnsi"/>
        <w:sz w:val="18"/>
        <w:szCs w:val="18"/>
      </w:rPr>
      <w:t>V</w:t>
    </w:r>
    <w:r w:rsidR="00861E13">
      <w:rPr>
        <w:rStyle w:val="PageNumber"/>
        <w:rFonts w:cstheme="minorHAnsi"/>
        <w:sz w:val="18"/>
        <w:szCs w:val="18"/>
      </w:rPr>
      <w:t>4.2</w:t>
    </w:r>
    <w:r w:rsidR="00B14215" w:rsidRPr="00AE331D">
      <w:rPr>
        <w:rStyle w:val="PageNumber"/>
        <w:rFonts w:cstheme="minorHAnsi"/>
        <w:sz w:val="18"/>
        <w:szCs w:val="18"/>
      </w:rPr>
      <w:t>_Ju</w:t>
    </w:r>
    <w:r w:rsidR="0093433C">
      <w:rPr>
        <w:rStyle w:val="PageNumber"/>
        <w:rFonts w:cstheme="minorHAnsi"/>
        <w:sz w:val="18"/>
        <w:szCs w:val="18"/>
      </w:rPr>
      <w:t>ne</w:t>
    </w:r>
    <w:r w:rsidR="00B14215" w:rsidRPr="00AE331D">
      <w:rPr>
        <w:rStyle w:val="PageNumber"/>
        <w:rFonts w:cstheme="minorHAnsi"/>
        <w:sz w:val="18"/>
        <w:szCs w:val="18"/>
      </w:rPr>
      <w:t xml:space="preserve"> 202</w:t>
    </w:r>
    <w:r w:rsidR="00775F2E">
      <w:rPr>
        <w:rStyle w:val="PageNumber"/>
        <w:rFonts w:cstheme="minorHAnsi"/>
        <w:sz w:val="18"/>
        <w:szCs w:val="18"/>
      </w:rPr>
      <w:t>5</w:t>
    </w:r>
  </w:p>
  <w:p w14:paraId="7B8A5A23" w14:textId="77777777" w:rsidR="009C57D5" w:rsidRDefault="009C57D5" w:rsidP="00D32517">
    <w:pPr>
      <w:pStyle w:val="Footer"/>
      <w:tabs>
        <w:tab w:val="clear" w:pos="4320"/>
        <w:tab w:val="clear" w:pos="8640"/>
        <w:tab w:val="right" w:pos="9781"/>
      </w:tabs>
      <w:jc w:val="right"/>
      <w:rPr>
        <w:rFonts w:ascii="Arial" w:hAnsi="Arial"/>
        <w:sz w:val="18"/>
      </w:rPr>
    </w:pP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7A9D" w14:textId="77777777" w:rsidR="00661BEA" w:rsidRDefault="00661BEA">
      <w:r>
        <w:separator/>
      </w:r>
    </w:p>
  </w:footnote>
  <w:footnote w:type="continuationSeparator" w:id="0">
    <w:p w14:paraId="6DEE8B61" w14:textId="77777777" w:rsidR="00661BEA" w:rsidRDefault="00661BEA">
      <w:r>
        <w:continuationSeparator/>
      </w:r>
    </w:p>
  </w:footnote>
  <w:footnote w:type="continuationNotice" w:id="1">
    <w:p w14:paraId="2B05B851" w14:textId="77777777" w:rsidR="00661BEA" w:rsidRDefault="00661B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457D" w14:textId="77777777" w:rsidR="009C57D5" w:rsidRPr="006278D6" w:rsidRDefault="009C57D5" w:rsidP="006278D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DE5"/>
    <w:multiLevelType w:val="hybridMultilevel"/>
    <w:tmpl w:val="A67C860A"/>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240AF0"/>
    <w:multiLevelType w:val="hybridMultilevel"/>
    <w:tmpl w:val="9FB8D1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962B6B"/>
    <w:multiLevelType w:val="hybridMultilevel"/>
    <w:tmpl w:val="34FABB2A"/>
    <w:lvl w:ilvl="0" w:tplc="4DBED0C0">
      <w:start w:val="1"/>
      <w:numFmt w:val="bullet"/>
      <w:lvlText w:val=""/>
      <w:lvlJc w:val="left"/>
      <w:pPr>
        <w:tabs>
          <w:tab w:val="num" w:pos="2790"/>
        </w:tabs>
        <w:ind w:left="2790" w:hanging="360"/>
      </w:pPr>
      <w:rPr>
        <w:rFonts w:ascii="Wingdings" w:hAnsi="Wingdings" w:hint="default"/>
        <w:b/>
        <w:i w:val="0"/>
        <w:color w:val="auto"/>
        <w:sz w:val="18"/>
        <w:szCs w:val="18"/>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3" w15:restartNumberingAfterBreak="0">
    <w:nsid w:val="06BE53C2"/>
    <w:multiLevelType w:val="hybridMultilevel"/>
    <w:tmpl w:val="EA6A7F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C7243E"/>
    <w:multiLevelType w:val="hybridMultilevel"/>
    <w:tmpl w:val="37C03090"/>
    <w:lvl w:ilvl="0" w:tplc="9FDA0076">
      <w:start w:val="1"/>
      <w:numFmt w:val="bullet"/>
      <w:lvlText w:val=""/>
      <w:lvlJc w:val="left"/>
      <w:pPr>
        <w:tabs>
          <w:tab w:val="num" w:pos="927"/>
        </w:tabs>
        <w:ind w:left="927" w:hanging="360"/>
      </w:pPr>
      <w:rPr>
        <w:rFonts w:ascii="Symbol" w:hAnsi="Symbol" w:hint="default"/>
        <w:b w:val="0"/>
        <w:i w:val="0"/>
        <w:sz w:val="24"/>
        <w:szCs w:val="24"/>
      </w:rPr>
    </w:lvl>
    <w:lvl w:ilvl="1" w:tplc="08090003" w:tentative="1">
      <w:start w:val="1"/>
      <w:numFmt w:val="bullet"/>
      <w:lvlText w:val="o"/>
      <w:lvlJc w:val="left"/>
      <w:pPr>
        <w:tabs>
          <w:tab w:val="num" w:pos="1494"/>
        </w:tabs>
        <w:ind w:left="1494" w:hanging="360"/>
      </w:pPr>
      <w:rPr>
        <w:rFonts w:ascii="Courier New" w:hAnsi="Courier New" w:cs="Courier New" w:hint="default"/>
      </w:rPr>
    </w:lvl>
    <w:lvl w:ilvl="2" w:tplc="08090005" w:tentative="1">
      <w:start w:val="1"/>
      <w:numFmt w:val="bullet"/>
      <w:lvlText w:val=""/>
      <w:lvlJc w:val="left"/>
      <w:pPr>
        <w:tabs>
          <w:tab w:val="num" w:pos="2214"/>
        </w:tabs>
        <w:ind w:left="2214" w:hanging="360"/>
      </w:pPr>
      <w:rPr>
        <w:rFonts w:ascii="Wingdings" w:hAnsi="Wingdings" w:hint="default"/>
      </w:rPr>
    </w:lvl>
    <w:lvl w:ilvl="3" w:tplc="08090001" w:tentative="1">
      <w:start w:val="1"/>
      <w:numFmt w:val="bullet"/>
      <w:lvlText w:val=""/>
      <w:lvlJc w:val="left"/>
      <w:pPr>
        <w:tabs>
          <w:tab w:val="num" w:pos="2934"/>
        </w:tabs>
        <w:ind w:left="2934" w:hanging="360"/>
      </w:pPr>
      <w:rPr>
        <w:rFonts w:ascii="Symbol" w:hAnsi="Symbol" w:hint="default"/>
      </w:rPr>
    </w:lvl>
    <w:lvl w:ilvl="4" w:tplc="08090003" w:tentative="1">
      <w:start w:val="1"/>
      <w:numFmt w:val="bullet"/>
      <w:lvlText w:val="o"/>
      <w:lvlJc w:val="left"/>
      <w:pPr>
        <w:tabs>
          <w:tab w:val="num" w:pos="3654"/>
        </w:tabs>
        <w:ind w:left="3654" w:hanging="360"/>
      </w:pPr>
      <w:rPr>
        <w:rFonts w:ascii="Courier New" w:hAnsi="Courier New" w:cs="Courier New" w:hint="default"/>
      </w:rPr>
    </w:lvl>
    <w:lvl w:ilvl="5" w:tplc="08090005" w:tentative="1">
      <w:start w:val="1"/>
      <w:numFmt w:val="bullet"/>
      <w:lvlText w:val=""/>
      <w:lvlJc w:val="left"/>
      <w:pPr>
        <w:tabs>
          <w:tab w:val="num" w:pos="4374"/>
        </w:tabs>
        <w:ind w:left="4374" w:hanging="360"/>
      </w:pPr>
      <w:rPr>
        <w:rFonts w:ascii="Wingdings" w:hAnsi="Wingdings" w:hint="default"/>
      </w:rPr>
    </w:lvl>
    <w:lvl w:ilvl="6" w:tplc="08090001" w:tentative="1">
      <w:start w:val="1"/>
      <w:numFmt w:val="bullet"/>
      <w:lvlText w:val=""/>
      <w:lvlJc w:val="left"/>
      <w:pPr>
        <w:tabs>
          <w:tab w:val="num" w:pos="5094"/>
        </w:tabs>
        <w:ind w:left="5094" w:hanging="360"/>
      </w:pPr>
      <w:rPr>
        <w:rFonts w:ascii="Symbol" w:hAnsi="Symbol" w:hint="default"/>
      </w:rPr>
    </w:lvl>
    <w:lvl w:ilvl="7" w:tplc="08090003" w:tentative="1">
      <w:start w:val="1"/>
      <w:numFmt w:val="bullet"/>
      <w:lvlText w:val="o"/>
      <w:lvlJc w:val="left"/>
      <w:pPr>
        <w:tabs>
          <w:tab w:val="num" w:pos="5814"/>
        </w:tabs>
        <w:ind w:left="5814" w:hanging="360"/>
      </w:pPr>
      <w:rPr>
        <w:rFonts w:ascii="Courier New" w:hAnsi="Courier New" w:cs="Courier New" w:hint="default"/>
      </w:rPr>
    </w:lvl>
    <w:lvl w:ilvl="8" w:tplc="08090005" w:tentative="1">
      <w:start w:val="1"/>
      <w:numFmt w:val="bullet"/>
      <w:lvlText w:val=""/>
      <w:lvlJc w:val="left"/>
      <w:pPr>
        <w:tabs>
          <w:tab w:val="num" w:pos="6534"/>
        </w:tabs>
        <w:ind w:left="6534" w:hanging="360"/>
      </w:pPr>
      <w:rPr>
        <w:rFonts w:ascii="Wingdings" w:hAnsi="Wingdings" w:hint="default"/>
      </w:rPr>
    </w:lvl>
  </w:abstractNum>
  <w:abstractNum w:abstractNumId="5" w15:restartNumberingAfterBreak="0">
    <w:nsid w:val="07FD1321"/>
    <w:multiLevelType w:val="singleLevel"/>
    <w:tmpl w:val="07E0633A"/>
    <w:lvl w:ilvl="0">
      <w:numFmt w:val="bullet"/>
      <w:lvlText w:val=""/>
      <w:lvlJc w:val="left"/>
      <w:pPr>
        <w:tabs>
          <w:tab w:val="num" w:pos="0"/>
        </w:tabs>
        <w:ind w:left="720" w:hanging="360"/>
      </w:pPr>
      <w:rPr>
        <w:rFonts w:ascii="Symbol" w:hAnsi="Symbol" w:hint="default"/>
      </w:rPr>
    </w:lvl>
  </w:abstractNum>
  <w:abstractNum w:abstractNumId="6" w15:restartNumberingAfterBreak="0">
    <w:nsid w:val="09D018EB"/>
    <w:multiLevelType w:val="multilevel"/>
    <w:tmpl w:val="4CDE3C26"/>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7A7190"/>
    <w:multiLevelType w:val="singleLevel"/>
    <w:tmpl w:val="B2C49886"/>
    <w:lvl w:ilvl="0">
      <w:start w:val="1"/>
      <w:numFmt w:val="bullet"/>
      <w:lvlText w:val=""/>
      <w:lvlJc w:val="left"/>
      <w:pPr>
        <w:tabs>
          <w:tab w:val="num" w:pos="360"/>
        </w:tabs>
        <w:ind w:left="360" w:hanging="360"/>
      </w:pPr>
      <w:rPr>
        <w:rFonts w:ascii="Symbol" w:hAnsi="Symbol" w:hint="default"/>
        <w:sz w:val="22"/>
      </w:rPr>
    </w:lvl>
  </w:abstractNum>
  <w:abstractNum w:abstractNumId="8" w15:restartNumberingAfterBreak="0">
    <w:nsid w:val="0F3A4F7A"/>
    <w:multiLevelType w:val="hybridMultilevel"/>
    <w:tmpl w:val="EEFA8E2A"/>
    <w:lvl w:ilvl="0" w:tplc="EFB0F8C4">
      <w:start w:val="1"/>
      <w:numFmt w:val="bullet"/>
      <w:lvlText w:val=""/>
      <w:lvlJc w:val="left"/>
      <w:pPr>
        <w:tabs>
          <w:tab w:val="num" w:pos="360"/>
        </w:tabs>
        <w:ind w:left="360" w:firstLine="0"/>
      </w:pPr>
      <w:rPr>
        <w:rFonts w:ascii="Wingdings" w:hAnsi="Wingdings" w:hint="default"/>
        <w:b/>
        <w:i w:val="0"/>
        <w:color w:val="auto"/>
        <w:sz w:val="24"/>
      </w:rPr>
    </w:lvl>
    <w:lvl w:ilvl="1" w:tplc="B5D09638">
      <w:start w:val="1"/>
      <w:numFmt w:val="bullet"/>
      <w:lvlText w:val=""/>
      <w:lvlJc w:val="left"/>
      <w:pPr>
        <w:tabs>
          <w:tab w:val="num" w:pos="1440"/>
        </w:tabs>
        <w:ind w:left="1440" w:hanging="360"/>
      </w:pPr>
      <w:rPr>
        <w:rFonts w:ascii="Wingdings" w:hAnsi="Wingdings" w:hint="default"/>
        <w:b/>
        <w:i w:val="0"/>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2A615B"/>
    <w:multiLevelType w:val="hybridMultilevel"/>
    <w:tmpl w:val="77C4F524"/>
    <w:lvl w:ilvl="0" w:tplc="7B807802">
      <w:start w:val="1"/>
      <w:numFmt w:val="decimal"/>
      <w:lvlText w:val="%1.0"/>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677F78"/>
    <w:multiLevelType w:val="multilevel"/>
    <w:tmpl w:val="F970D3E6"/>
    <w:lvl w:ilvl="0">
      <w:start w:val="10"/>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47B68C7"/>
    <w:multiLevelType w:val="hybridMultilevel"/>
    <w:tmpl w:val="149603C4"/>
    <w:lvl w:ilvl="0" w:tplc="EFB0F8C4">
      <w:start w:val="1"/>
      <w:numFmt w:val="bullet"/>
      <w:lvlText w:val=""/>
      <w:lvlJc w:val="left"/>
      <w:pPr>
        <w:tabs>
          <w:tab w:val="num" w:pos="1080"/>
        </w:tabs>
        <w:ind w:left="1080" w:firstLine="0"/>
      </w:pPr>
      <w:rPr>
        <w:rFonts w:ascii="Wingdings" w:hAnsi="Wingdings" w:hint="default"/>
        <w:b/>
        <w:i w:val="0"/>
        <w:color w:val="auto"/>
        <w:sz w:val="24"/>
      </w:rPr>
    </w:lvl>
    <w:lvl w:ilvl="1" w:tplc="B5D09638">
      <w:start w:val="1"/>
      <w:numFmt w:val="bullet"/>
      <w:lvlText w:val=""/>
      <w:lvlJc w:val="left"/>
      <w:pPr>
        <w:tabs>
          <w:tab w:val="num" w:pos="1440"/>
        </w:tabs>
        <w:ind w:left="1440" w:hanging="360"/>
      </w:pPr>
      <w:rPr>
        <w:rFonts w:ascii="Wingdings" w:hAnsi="Wingdings" w:hint="default"/>
        <w:b/>
        <w:i w:val="0"/>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9655A8"/>
    <w:multiLevelType w:val="hybridMultilevel"/>
    <w:tmpl w:val="AB8CC988"/>
    <w:lvl w:ilvl="0" w:tplc="08090003">
      <w:start w:val="1"/>
      <w:numFmt w:val="bullet"/>
      <w:lvlText w:val="o"/>
      <w:lvlJc w:val="left"/>
      <w:pPr>
        <w:tabs>
          <w:tab w:val="num" w:pos="2520"/>
        </w:tabs>
        <w:ind w:left="2520" w:hanging="360"/>
      </w:pPr>
      <w:rPr>
        <w:rFonts w:ascii="Courier New" w:hAnsi="Courier New" w:cs="Courier New"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1A950CBE"/>
    <w:multiLevelType w:val="hybridMultilevel"/>
    <w:tmpl w:val="F04C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3F79B2"/>
    <w:multiLevelType w:val="hybridMultilevel"/>
    <w:tmpl w:val="F93C08D8"/>
    <w:lvl w:ilvl="0" w:tplc="EFB0F8C4">
      <w:start w:val="1"/>
      <w:numFmt w:val="bullet"/>
      <w:lvlText w:val=""/>
      <w:lvlJc w:val="left"/>
      <w:pPr>
        <w:tabs>
          <w:tab w:val="num" w:pos="1080"/>
        </w:tabs>
        <w:ind w:left="1080" w:firstLine="0"/>
      </w:pPr>
      <w:rPr>
        <w:rFonts w:ascii="Wingdings" w:hAnsi="Wingdings"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1C797B"/>
    <w:multiLevelType w:val="hybridMultilevel"/>
    <w:tmpl w:val="6284C91E"/>
    <w:lvl w:ilvl="0" w:tplc="EFB0F8C4">
      <w:start w:val="1"/>
      <w:numFmt w:val="bullet"/>
      <w:lvlText w:val=""/>
      <w:lvlJc w:val="left"/>
      <w:pPr>
        <w:tabs>
          <w:tab w:val="num" w:pos="1080"/>
        </w:tabs>
        <w:ind w:left="1080" w:firstLine="0"/>
      </w:pPr>
      <w:rPr>
        <w:rFonts w:ascii="Wingdings" w:hAnsi="Wingdings" w:hint="default"/>
        <w:b/>
        <w:i w:val="0"/>
        <w:color w:val="auto"/>
        <w:sz w:val="24"/>
      </w:rPr>
    </w:lvl>
    <w:lvl w:ilvl="1" w:tplc="B5D09638">
      <w:start w:val="1"/>
      <w:numFmt w:val="bullet"/>
      <w:lvlText w:val=""/>
      <w:lvlJc w:val="left"/>
      <w:pPr>
        <w:tabs>
          <w:tab w:val="num" w:pos="1440"/>
        </w:tabs>
        <w:ind w:left="1440" w:hanging="360"/>
      </w:pPr>
      <w:rPr>
        <w:rFonts w:ascii="Wingdings" w:hAnsi="Wingdings" w:hint="default"/>
        <w:b/>
        <w:i w:val="0"/>
        <w:color w:val="auto"/>
        <w:sz w:val="24"/>
      </w:rPr>
    </w:lvl>
    <w:lvl w:ilvl="2" w:tplc="BA1C5B2A">
      <w:start w:val="1"/>
      <w:numFmt w:val="bullet"/>
      <w:lvlText w:val=""/>
      <w:lvlJc w:val="left"/>
      <w:pPr>
        <w:tabs>
          <w:tab w:val="num" w:pos="2160"/>
        </w:tabs>
        <w:ind w:left="2160" w:hanging="360"/>
      </w:pPr>
      <w:rPr>
        <w:rFonts w:ascii="Wingdings" w:hAnsi="Wingdings" w:hint="default"/>
        <w:b/>
        <w:i w:val="0"/>
        <w:color w:val="auto"/>
        <w:sz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066801"/>
    <w:multiLevelType w:val="hybridMultilevel"/>
    <w:tmpl w:val="BFE6510C"/>
    <w:lvl w:ilvl="0" w:tplc="EFB0F8C4">
      <w:start w:val="1"/>
      <w:numFmt w:val="bullet"/>
      <w:lvlText w:val=""/>
      <w:lvlJc w:val="left"/>
      <w:pPr>
        <w:tabs>
          <w:tab w:val="num" w:pos="1080"/>
        </w:tabs>
        <w:ind w:left="1080" w:firstLine="0"/>
      </w:pPr>
      <w:rPr>
        <w:rFonts w:ascii="Wingdings" w:hAnsi="Wingdings" w:hint="default"/>
        <w:b/>
        <w:i w:val="0"/>
        <w:color w:val="auto"/>
        <w:sz w:val="24"/>
      </w:rPr>
    </w:lvl>
    <w:lvl w:ilvl="1" w:tplc="B5D09638">
      <w:start w:val="1"/>
      <w:numFmt w:val="bullet"/>
      <w:lvlText w:val=""/>
      <w:lvlJc w:val="left"/>
      <w:pPr>
        <w:tabs>
          <w:tab w:val="num" w:pos="1440"/>
        </w:tabs>
        <w:ind w:left="1440" w:hanging="360"/>
      </w:pPr>
      <w:rPr>
        <w:rFonts w:ascii="Wingdings" w:hAnsi="Wingdings" w:hint="default"/>
        <w:b/>
        <w:i w:val="0"/>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8F2403"/>
    <w:multiLevelType w:val="hybridMultilevel"/>
    <w:tmpl w:val="DF569408"/>
    <w:lvl w:ilvl="0" w:tplc="7B807802">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661C4D"/>
    <w:multiLevelType w:val="hybridMultilevel"/>
    <w:tmpl w:val="154EAE0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6962A2"/>
    <w:multiLevelType w:val="singleLevel"/>
    <w:tmpl w:val="B2C49886"/>
    <w:lvl w:ilvl="0">
      <w:start w:val="1"/>
      <w:numFmt w:val="bullet"/>
      <w:lvlText w:val=""/>
      <w:lvlJc w:val="left"/>
      <w:pPr>
        <w:tabs>
          <w:tab w:val="num" w:pos="360"/>
        </w:tabs>
        <w:ind w:left="360" w:hanging="360"/>
      </w:pPr>
      <w:rPr>
        <w:rFonts w:ascii="Symbol" w:hAnsi="Symbol" w:hint="default"/>
        <w:sz w:val="22"/>
      </w:rPr>
    </w:lvl>
  </w:abstractNum>
  <w:abstractNum w:abstractNumId="20" w15:restartNumberingAfterBreak="0">
    <w:nsid w:val="2F003F8D"/>
    <w:multiLevelType w:val="multilevel"/>
    <w:tmpl w:val="535C470C"/>
    <w:lvl w:ilvl="0">
      <w:start w:val="1"/>
      <w:numFmt w:val="decimal"/>
      <w:lvlText w:val="%1.0"/>
      <w:lvlJc w:val="left"/>
      <w:pPr>
        <w:ind w:left="-207" w:hanging="360"/>
      </w:pPr>
      <w:rPr>
        <w:rFonts w:asciiTheme="minorHAnsi" w:hAnsiTheme="minorHAnsi" w:cstheme="minorHAnsi" w:hint="default"/>
      </w:rPr>
    </w:lvl>
    <w:lvl w:ilvl="1">
      <w:start w:val="1"/>
      <w:numFmt w:val="decimal"/>
      <w:lvlText w:val="%1.%2"/>
      <w:lvlJc w:val="left"/>
      <w:pPr>
        <w:ind w:left="513" w:hanging="360"/>
      </w:pPr>
      <w:rPr>
        <w:rFonts w:hint="default"/>
        <w:b w:val="0"/>
        <w:bCs/>
      </w:rPr>
    </w:lvl>
    <w:lvl w:ilvl="2">
      <w:start w:val="1"/>
      <w:numFmt w:val="decimal"/>
      <w:lvlText w:val="%1.%2.%3"/>
      <w:lvlJc w:val="left"/>
      <w:pPr>
        <w:ind w:left="1593" w:hanging="720"/>
      </w:pPr>
      <w:rPr>
        <w:rFonts w:hint="default"/>
      </w:rPr>
    </w:lvl>
    <w:lvl w:ilvl="3">
      <w:start w:val="1"/>
      <w:numFmt w:val="decimal"/>
      <w:lvlText w:val="%1.%2.%3.%4"/>
      <w:lvlJc w:val="left"/>
      <w:pPr>
        <w:ind w:left="2313" w:hanging="720"/>
      </w:pPr>
      <w:rPr>
        <w:rFonts w:hint="default"/>
      </w:rPr>
    </w:lvl>
    <w:lvl w:ilvl="4">
      <w:start w:val="1"/>
      <w:numFmt w:val="decimal"/>
      <w:lvlText w:val="%1.%2.%3.%4.%5"/>
      <w:lvlJc w:val="left"/>
      <w:pPr>
        <w:ind w:left="3393" w:hanging="1080"/>
      </w:pPr>
      <w:rPr>
        <w:rFonts w:hint="default"/>
      </w:rPr>
    </w:lvl>
    <w:lvl w:ilvl="5">
      <w:start w:val="1"/>
      <w:numFmt w:val="decimal"/>
      <w:lvlText w:val="%1.%2.%3.%4.%5.%6"/>
      <w:lvlJc w:val="left"/>
      <w:pPr>
        <w:ind w:left="4113" w:hanging="1080"/>
      </w:pPr>
      <w:rPr>
        <w:rFonts w:hint="default"/>
      </w:rPr>
    </w:lvl>
    <w:lvl w:ilvl="6">
      <w:start w:val="1"/>
      <w:numFmt w:val="decimal"/>
      <w:lvlText w:val="%1.%2.%3.%4.%5.%6.%7"/>
      <w:lvlJc w:val="left"/>
      <w:pPr>
        <w:ind w:left="5193" w:hanging="1440"/>
      </w:pPr>
      <w:rPr>
        <w:rFonts w:hint="default"/>
      </w:rPr>
    </w:lvl>
    <w:lvl w:ilvl="7">
      <w:start w:val="1"/>
      <w:numFmt w:val="decimal"/>
      <w:lvlText w:val="%1.%2.%3.%4.%5.%6.%7.%8"/>
      <w:lvlJc w:val="left"/>
      <w:pPr>
        <w:ind w:left="5913" w:hanging="1440"/>
      </w:pPr>
      <w:rPr>
        <w:rFonts w:hint="default"/>
      </w:rPr>
    </w:lvl>
    <w:lvl w:ilvl="8">
      <w:start w:val="1"/>
      <w:numFmt w:val="decimal"/>
      <w:lvlText w:val="%1.%2.%3.%4.%5.%6.%7.%8.%9"/>
      <w:lvlJc w:val="left"/>
      <w:pPr>
        <w:ind w:left="6633" w:hanging="1440"/>
      </w:pPr>
      <w:rPr>
        <w:rFonts w:hint="default"/>
      </w:rPr>
    </w:lvl>
  </w:abstractNum>
  <w:abstractNum w:abstractNumId="21" w15:restartNumberingAfterBreak="0">
    <w:nsid w:val="2F226C2F"/>
    <w:multiLevelType w:val="singleLevel"/>
    <w:tmpl w:val="07E0633A"/>
    <w:lvl w:ilvl="0">
      <w:numFmt w:val="bullet"/>
      <w:lvlText w:val=""/>
      <w:lvlJc w:val="left"/>
      <w:pPr>
        <w:tabs>
          <w:tab w:val="num" w:pos="0"/>
        </w:tabs>
        <w:ind w:left="720" w:hanging="360"/>
      </w:pPr>
      <w:rPr>
        <w:rFonts w:ascii="Symbol" w:hAnsi="Symbol" w:hint="default"/>
      </w:rPr>
    </w:lvl>
  </w:abstractNum>
  <w:abstractNum w:abstractNumId="22" w15:restartNumberingAfterBreak="0">
    <w:nsid w:val="2F871787"/>
    <w:multiLevelType w:val="hybridMultilevel"/>
    <w:tmpl w:val="A726084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08D523A"/>
    <w:multiLevelType w:val="multilevel"/>
    <w:tmpl w:val="4CDE3C26"/>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4D6BEB"/>
    <w:multiLevelType w:val="hybridMultilevel"/>
    <w:tmpl w:val="5C245AD8"/>
    <w:lvl w:ilvl="0" w:tplc="4C023AE6">
      <w:start w:val="1"/>
      <w:numFmt w:val="bullet"/>
      <w:lvlText w:val=""/>
      <w:lvlJc w:val="left"/>
      <w:pPr>
        <w:tabs>
          <w:tab w:val="num" w:pos="1134"/>
        </w:tabs>
        <w:ind w:left="1134" w:hanging="567"/>
      </w:pPr>
      <w:rPr>
        <w:rFonts w:ascii="Symbol" w:hAnsi="Symbol"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5" w15:restartNumberingAfterBreak="0">
    <w:nsid w:val="34765DC5"/>
    <w:multiLevelType w:val="hybridMultilevel"/>
    <w:tmpl w:val="F9F0FAF0"/>
    <w:lvl w:ilvl="0" w:tplc="80B41006">
      <w:start w:val="1"/>
      <w:numFmt w:val="decimal"/>
      <w:pStyle w:val="Heading2"/>
      <w:lvlText w:val="%1.0"/>
      <w:lvlJc w:val="left"/>
      <w:pPr>
        <w:ind w:left="720" w:hanging="360"/>
      </w:pPr>
      <w:rPr>
        <w:rFonts w:hint="default"/>
      </w:rPr>
    </w:lvl>
    <w:lvl w:ilvl="1" w:tplc="08090019" w:tentative="1">
      <w:start w:val="1"/>
      <w:numFmt w:val="lowerLetter"/>
      <w:pStyle w:val="Heading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7843A8"/>
    <w:multiLevelType w:val="hybridMultilevel"/>
    <w:tmpl w:val="D4A45910"/>
    <w:lvl w:ilvl="0" w:tplc="EFB0F8C4">
      <w:start w:val="1"/>
      <w:numFmt w:val="bullet"/>
      <w:lvlText w:val=""/>
      <w:lvlJc w:val="left"/>
      <w:pPr>
        <w:tabs>
          <w:tab w:val="num" w:pos="1080"/>
        </w:tabs>
        <w:ind w:left="1080" w:firstLine="0"/>
      </w:pPr>
      <w:rPr>
        <w:rFonts w:ascii="Wingdings" w:hAnsi="Wingdings" w:hint="default"/>
        <w:b/>
        <w:i w:val="0"/>
        <w:color w:val="auto"/>
        <w:sz w:val="24"/>
      </w:rPr>
    </w:lvl>
    <w:lvl w:ilvl="1" w:tplc="BA1C5B2A">
      <w:start w:val="1"/>
      <w:numFmt w:val="bullet"/>
      <w:lvlText w:val=""/>
      <w:lvlJc w:val="left"/>
      <w:pPr>
        <w:tabs>
          <w:tab w:val="num" w:pos="1440"/>
        </w:tabs>
        <w:ind w:left="1440" w:hanging="360"/>
      </w:pPr>
      <w:rPr>
        <w:rFonts w:ascii="Wingdings" w:hAnsi="Wingdings" w:hint="default"/>
        <w:b/>
        <w:i w:val="0"/>
        <w:color w:val="auto"/>
        <w:sz w:val="28"/>
      </w:rPr>
    </w:lvl>
    <w:lvl w:ilvl="2" w:tplc="B5D09638">
      <w:start w:val="1"/>
      <w:numFmt w:val="bullet"/>
      <w:lvlText w:val=""/>
      <w:lvlJc w:val="left"/>
      <w:pPr>
        <w:tabs>
          <w:tab w:val="num" w:pos="2160"/>
        </w:tabs>
        <w:ind w:left="2160" w:hanging="360"/>
      </w:pPr>
      <w:rPr>
        <w:rFonts w:ascii="Wingdings" w:hAnsi="Wingdings" w:hint="default"/>
        <w:b/>
        <w:i w:val="0"/>
        <w:color w:val="auto"/>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2808CD"/>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46672BFA"/>
    <w:multiLevelType w:val="hybridMultilevel"/>
    <w:tmpl w:val="8922738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9" w15:restartNumberingAfterBreak="0">
    <w:nsid w:val="4B3B6CC2"/>
    <w:multiLevelType w:val="hybridMultilevel"/>
    <w:tmpl w:val="665E95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C2B53DE"/>
    <w:multiLevelType w:val="singleLevel"/>
    <w:tmpl w:val="B2C49886"/>
    <w:lvl w:ilvl="0">
      <w:start w:val="1"/>
      <w:numFmt w:val="bullet"/>
      <w:lvlText w:val=""/>
      <w:lvlJc w:val="left"/>
      <w:pPr>
        <w:tabs>
          <w:tab w:val="num" w:pos="360"/>
        </w:tabs>
        <w:ind w:left="360" w:hanging="360"/>
      </w:pPr>
      <w:rPr>
        <w:rFonts w:ascii="Symbol" w:hAnsi="Symbol" w:hint="default"/>
        <w:sz w:val="22"/>
      </w:rPr>
    </w:lvl>
  </w:abstractNum>
  <w:abstractNum w:abstractNumId="31" w15:restartNumberingAfterBreak="0">
    <w:nsid w:val="52D4473D"/>
    <w:multiLevelType w:val="multilevel"/>
    <w:tmpl w:val="4350BFDC"/>
    <w:lvl w:ilvl="0">
      <w:start w:val="10"/>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6501501"/>
    <w:multiLevelType w:val="hybridMultilevel"/>
    <w:tmpl w:val="FE3E2A1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D055D6"/>
    <w:multiLevelType w:val="hybridMultilevel"/>
    <w:tmpl w:val="CEE604E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B5F16CF"/>
    <w:multiLevelType w:val="hybridMultilevel"/>
    <w:tmpl w:val="7058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467E6A"/>
    <w:multiLevelType w:val="multilevel"/>
    <w:tmpl w:val="4CDE3C26"/>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524FD8"/>
    <w:multiLevelType w:val="hybridMultilevel"/>
    <w:tmpl w:val="BEEE5D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2087FB8"/>
    <w:multiLevelType w:val="multilevel"/>
    <w:tmpl w:val="F6302B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637C90"/>
    <w:multiLevelType w:val="hybridMultilevel"/>
    <w:tmpl w:val="88B2930A"/>
    <w:lvl w:ilvl="0" w:tplc="11765C90">
      <w:start w:val="1"/>
      <w:numFmt w:val="bullet"/>
      <w:lvlText w:val=""/>
      <w:lvlJc w:val="left"/>
      <w:pPr>
        <w:tabs>
          <w:tab w:val="num" w:pos="927"/>
        </w:tabs>
        <w:ind w:left="851" w:hanging="284"/>
      </w:pPr>
      <w:rPr>
        <w:rFonts w:ascii="Symbol" w:hAnsi="Symbol" w:hint="default"/>
        <w:b w:val="0"/>
        <w:i w:val="0"/>
        <w:sz w:val="24"/>
        <w:szCs w:val="24"/>
      </w:rPr>
    </w:lvl>
    <w:lvl w:ilvl="1" w:tplc="08090001">
      <w:start w:val="1"/>
      <w:numFmt w:val="bullet"/>
      <w:lvlText w:val=""/>
      <w:lvlJc w:val="left"/>
      <w:pPr>
        <w:tabs>
          <w:tab w:val="num" w:pos="2010"/>
        </w:tabs>
        <w:ind w:left="2010" w:hanging="360"/>
      </w:pPr>
      <w:rPr>
        <w:rFonts w:ascii="Symbol" w:hAnsi="Symbol" w:hint="default"/>
        <w:b w:val="0"/>
        <w:i w:val="0"/>
        <w:sz w:val="24"/>
        <w:szCs w:val="24"/>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39" w15:restartNumberingAfterBreak="0">
    <w:nsid w:val="7D876B6E"/>
    <w:multiLevelType w:val="singleLevel"/>
    <w:tmpl w:val="B2C49886"/>
    <w:lvl w:ilvl="0">
      <w:start w:val="1"/>
      <w:numFmt w:val="bullet"/>
      <w:lvlText w:val=""/>
      <w:lvlJc w:val="left"/>
      <w:pPr>
        <w:tabs>
          <w:tab w:val="num" w:pos="360"/>
        </w:tabs>
        <w:ind w:left="360" w:hanging="360"/>
      </w:pPr>
      <w:rPr>
        <w:rFonts w:ascii="Symbol" w:hAnsi="Symbol" w:hint="default"/>
        <w:sz w:val="22"/>
      </w:rPr>
    </w:lvl>
  </w:abstractNum>
  <w:abstractNum w:abstractNumId="40" w15:restartNumberingAfterBreak="0">
    <w:nsid w:val="7F345381"/>
    <w:multiLevelType w:val="hybridMultilevel"/>
    <w:tmpl w:val="7CCE83BC"/>
    <w:lvl w:ilvl="0" w:tplc="9FDA0076">
      <w:start w:val="1"/>
      <w:numFmt w:val="bullet"/>
      <w:lvlText w:val=""/>
      <w:lvlJc w:val="left"/>
      <w:pPr>
        <w:tabs>
          <w:tab w:val="num" w:pos="1859"/>
        </w:tabs>
        <w:ind w:left="1859"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19039846">
    <w:abstractNumId w:val="39"/>
  </w:num>
  <w:num w:numId="2" w16cid:durableId="1692485547">
    <w:abstractNumId w:val="7"/>
  </w:num>
  <w:num w:numId="3" w16cid:durableId="1517964322">
    <w:abstractNumId w:val="30"/>
  </w:num>
  <w:num w:numId="4" w16cid:durableId="1334331494">
    <w:abstractNumId w:val="19"/>
  </w:num>
  <w:num w:numId="5" w16cid:durableId="263534432">
    <w:abstractNumId w:val="27"/>
  </w:num>
  <w:num w:numId="6" w16cid:durableId="286277816">
    <w:abstractNumId w:val="21"/>
  </w:num>
  <w:num w:numId="7" w16cid:durableId="364133576">
    <w:abstractNumId w:val="5"/>
  </w:num>
  <w:num w:numId="8" w16cid:durableId="384523703">
    <w:abstractNumId w:val="4"/>
  </w:num>
  <w:num w:numId="9" w16cid:durableId="349645873">
    <w:abstractNumId w:val="40"/>
  </w:num>
  <w:num w:numId="10" w16cid:durableId="372732060">
    <w:abstractNumId w:val="24"/>
  </w:num>
  <w:num w:numId="11" w16cid:durableId="1510605919">
    <w:abstractNumId w:val="38"/>
  </w:num>
  <w:num w:numId="12" w16cid:durableId="1385257154">
    <w:abstractNumId w:val="22"/>
  </w:num>
  <w:num w:numId="13" w16cid:durableId="2082211020">
    <w:abstractNumId w:val="2"/>
  </w:num>
  <w:num w:numId="14" w16cid:durableId="2101679535">
    <w:abstractNumId w:val="10"/>
  </w:num>
  <w:num w:numId="15" w16cid:durableId="1943219460">
    <w:abstractNumId w:val="29"/>
  </w:num>
  <w:num w:numId="16" w16cid:durableId="1088815545">
    <w:abstractNumId w:val="18"/>
  </w:num>
  <w:num w:numId="17" w16cid:durableId="419915059">
    <w:abstractNumId w:val="32"/>
  </w:num>
  <w:num w:numId="18" w16cid:durableId="1072049418">
    <w:abstractNumId w:val="0"/>
  </w:num>
  <w:num w:numId="19" w16cid:durableId="756053229">
    <w:abstractNumId w:val="33"/>
  </w:num>
  <w:num w:numId="20" w16cid:durableId="1621523077">
    <w:abstractNumId w:val="1"/>
  </w:num>
  <w:num w:numId="21" w16cid:durableId="975915186">
    <w:abstractNumId w:val="8"/>
  </w:num>
  <w:num w:numId="22" w16cid:durableId="606432041">
    <w:abstractNumId w:val="26"/>
  </w:num>
  <w:num w:numId="23" w16cid:durableId="1074201350">
    <w:abstractNumId w:val="14"/>
  </w:num>
  <w:num w:numId="24" w16cid:durableId="1332491562">
    <w:abstractNumId w:val="15"/>
  </w:num>
  <w:num w:numId="25" w16cid:durableId="1582328278">
    <w:abstractNumId w:val="16"/>
  </w:num>
  <w:num w:numId="26" w16cid:durableId="1437366349">
    <w:abstractNumId w:val="11"/>
  </w:num>
  <w:num w:numId="27" w16cid:durableId="748621236">
    <w:abstractNumId w:val="31"/>
  </w:num>
  <w:num w:numId="28" w16cid:durableId="1344090558">
    <w:abstractNumId w:val="12"/>
  </w:num>
  <w:num w:numId="29" w16cid:durableId="1266887645">
    <w:abstractNumId w:val="6"/>
  </w:num>
  <w:num w:numId="30" w16cid:durableId="300576650">
    <w:abstractNumId w:val="3"/>
  </w:num>
  <w:num w:numId="31" w16cid:durableId="1884781344">
    <w:abstractNumId w:val="36"/>
  </w:num>
  <w:num w:numId="32" w16cid:durableId="495650820">
    <w:abstractNumId w:val="25"/>
  </w:num>
  <w:num w:numId="33" w16cid:durableId="864830781">
    <w:abstractNumId w:val="17"/>
  </w:num>
  <w:num w:numId="34" w16cid:durableId="2075202313">
    <w:abstractNumId w:val="20"/>
  </w:num>
  <w:num w:numId="35" w16cid:durableId="1972468688">
    <w:abstractNumId w:val="9"/>
  </w:num>
  <w:num w:numId="36" w16cid:durableId="1194415065">
    <w:abstractNumId w:val="35"/>
  </w:num>
  <w:num w:numId="37" w16cid:durableId="1836416145">
    <w:abstractNumId w:val="23"/>
  </w:num>
  <w:num w:numId="38" w16cid:durableId="1109273595">
    <w:abstractNumId w:val="34"/>
  </w:num>
  <w:num w:numId="39" w16cid:durableId="833036048">
    <w:abstractNumId w:val="13"/>
  </w:num>
  <w:num w:numId="40" w16cid:durableId="778839960">
    <w:abstractNumId w:val="20"/>
  </w:num>
  <w:num w:numId="41" w16cid:durableId="1724330620">
    <w:abstractNumId w:val="20"/>
  </w:num>
  <w:num w:numId="42" w16cid:durableId="223681508">
    <w:abstractNumId w:val="20"/>
  </w:num>
  <w:num w:numId="43" w16cid:durableId="924920675">
    <w:abstractNumId w:val="20"/>
  </w:num>
  <w:num w:numId="44" w16cid:durableId="494760829">
    <w:abstractNumId w:val="28"/>
  </w:num>
  <w:num w:numId="45" w16cid:durableId="1938950860">
    <w:abstractNumId w:val="20"/>
    <w:lvlOverride w:ilvl="0">
      <w:startOverride w:val="2"/>
    </w:lvlOverride>
    <w:lvlOverride w:ilvl="1">
      <w:startOverride w:val="2"/>
    </w:lvlOverride>
  </w:num>
  <w:num w:numId="46" w16cid:durableId="42488612">
    <w:abstractNumId w:val="20"/>
    <w:lvlOverride w:ilvl="0">
      <w:startOverride w:val="5"/>
    </w:lvlOverride>
    <w:lvlOverride w:ilvl="1"/>
  </w:num>
  <w:num w:numId="47" w16cid:durableId="156953303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031"/>
    <w:rsid w:val="00003789"/>
    <w:rsid w:val="00003962"/>
    <w:rsid w:val="000046FE"/>
    <w:rsid w:val="00006B0A"/>
    <w:rsid w:val="000071CE"/>
    <w:rsid w:val="000108DF"/>
    <w:rsid w:val="000118EA"/>
    <w:rsid w:val="00011BF3"/>
    <w:rsid w:val="00014076"/>
    <w:rsid w:val="000207B8"/>
    <w:rsid w:val="0002137E"/>
    <w:rsid w:val="00021AC2"/>
    <w:rsid w:val="000243AA"/>
    <w:rsid w:val="00031927"/>
    <w:rsid w:val="00031D10"/>
    <w:rsid w:val="00033B75"/>
    <w:rsid w:val="0003488B"/>
    <w:rsid w:val="00043D7D"/>
    <w:rsid w:val="00044BCA"/>
    <w:rsid w:val="00044D28"/>
    <w:rsid w:val="0005087C"/>
    <w:rsid w:val="000509CD"/>
    <w:rsid w:val="00051F9F"/>
    <w:rsid w:val="00052916"/>
    <w:rsid w:val="0005336B"/>
    <w:rsid w:val="000535F4"/>
    <w:rsid w:val="00054773"/>
    <w:rsid w:val="000564DB"/>
    <w:rsid w:val="00056DC5"/>
    <w:rsid w:val="00057667"/>
    <w:rsid w:val="00062961"/>
    <w:rsid w:val="00062F68"/>
    <w:rsid w:val="00066516"/>
    <w:rsid w:val="00066B37"/>
    <w:rsid w:val="00067CB7"/>
    <w:rsid w:val="00070CCD"/>
    <w:rsid w:val="000718E8"/>
    <w:rsid w:val="0007374F"/>
    <w:rsid w:val="00073F6E"/>
    <w:rsid w:val="00075D60"/>
    <w:rsid w:val="000774B4"/>
    <w:rsid w:val="00080A88"/>
    <w:rsid w:val="00090D7F"/>
    <w:rsid w:val="0009451B"/>
    <w:rsid w:val="000949F2"/>
    <w:rsid w:val="00094EC7"/>
    <w:rsid w:val="00095DC4"/>
    <w:rsid w:val="000A1778"/>
    <w:rsid w:val="000A2062"/>
    <w:rsid w:val="000A39B6"/>
    <w:rsid w:val="000A3F8E"/>
    <w:rsid w:val="000A45E2"/>
    <w:rsid w:val="000A4F7B"/>
    <w:rsid w:val="000A709A"/>
    <w:rsid w:val="000B26FB"/>
    <w:rsid w:val="000B422E"/>
    <w:rsid w:val="000B6958"/>
    <w:rsid w:val="000C27D5"/>
    <w:rsid w:val="000C3265"/>
    <w:rsid w:val="000C389C"/>
    <w:rsid w:val="000C4589"/>
    <w:rsid w:val="000C523B"/>
    <w:rsid w:val="000C52AB"/>
    <w:rsid w:val="000D04F2"/>
    <w:rsid w:val="000D0507"/>
    <w:rsid w:val="000D26E7"/>
    <w:rsid w:val="000D6D7D"/>
    <w:rsid w:val="000D73A0"/>
    <w:rsid w:val="000D7F2D"/>
    <w:rsid w:val="000E127E"/>
    <w:rsid w:val="000E3930"/>
    <w:rsid w:val="000F0B05"/>
    <w:rsid w:val="000F0FF2"/>
    <w:rsid w:val="000F2478"/>
    <w:rsid w:val="000F2F04"/>
    <w:rsid w:val="000F31E3"/>
    <w:rsid w:val="000F3546"/>
    <w:rsid w:val="000F35D1"/>
    <w:rsid w:val="000F3D41"/>
    <w:rsid w:val="000F4938"/>
    <w:rsid w:val="000F733E"/>
    <w:rsid w:val="000F77D3"/>
    <w:rsid w:val="001000AB"/>
    <w:rsid w:val="00101C64"/>
    <w:rsid w:val="0010221B"/>
    <w:rsid w:val="00102627"/>
    <w:rsid w:val="00103E91"/>
    <w:rsid w:val="00107BC7"/>
    <w:rsid w:val="001118D8"/>
    <w:rsid w:val="0011281E"/>
    <w:rsid w:val="00115527"/>
    <w:rsid w:val="001164C1"/>
    <w:rsid w:val="00120548"/>
    <w:rsid w:val="00121279"/>
    <w:rsid w:val="001233FB"/>
    <w:rsid w:val="0012426B"/>
    <w:rsid w:val="00127548"/>
    <w:rsid w:val="00127AFE"/>
    <w:rsid w:val="001314A6"/>
    <w:rsid w:val="00133ADE"/>
    <w:rsid w:val="0013483B"/>
    <w:rsid w:val="00134C5E"/>
    <w:rsid w:val="00134D08"/>
    <w:rsid w:val="00135C4E"/>
    <w:rsid w:val="001377C8"/>
    <w:rsid w:val="00141C83"/>
    <w:rsid w:val="00142D50"/>
    <w:rsid w:val="00143A3F"/>
    <w:rsid w:val="0014560D"/>
    <w:rsid w:val="0015449F"/>
    <w:rsid w:val="00161015"/>
    <w:rsid w:val="00164192"/>
    <w:rsid w:val="00165029"/>
    <w:rsid w:val="0017138C"/>
    <w:rsid w:val="00172AA0"/>
    <w:rsid w:val="00182387"/>
    <w:rsid w:val="00182D88"/>
    <w:rsid w:val="00183DD2"/>
    <w:rsid w:val="001864F1"/>
    <w:rsid w:val="00190D44"/>
    <w:rsid w:val="00191262"/>
    <w:rsid w:val="00192FA7"/>
    <w:rsid w:val="00194884"/>
    <w:rsid w:val="00194C37"/>
    <w:rsid w:val="0019572E"/>
    <w:rsid w:val="001967F4"/>
    <w:rsid w:val="0019774F"/>
    <w:rsid w:val="001A0D8D"/>
    <w:rsid w:val="001A1161"/>
    <w:rsid w:val="001A5E6B"/>
    <w:rsid w:val="001A7B33"/>
    <w:rsid w:val="001A7E01"/>
    <w:rsid w:val="001B320E"/>
    <w:rsid w:val="001B5206"/>
    <w:rsid w:val="001C25D5"/>
    <w:rsid w:val="001C3871"/>
    <w:rsid w:val="001C4968"/>
    <w:rsid w:val="001C4DD5"/>
    <w:rsid w:val="001C515B"/>
    <w:rsid w:val="001D03A9"/>
    <w:rsid w:val="001D0B4F"/>
    <w:rsid w:val="001D1470"/>
    <w:rsid w:val="001D3482"/>
    <w:rsid w:val="001D46E6"/>
    <w:rsid w:val="001D4BC1"/>
    <w:rsid w:val="001D66A4"/>
    <w:rsid w:val="001D66FF"/>
    <w:rsid w:val="001E13A6"/>
    <w:rsid w:val="001E146F"/>
    <w:rsid w:val="001E3901"/>
    <w:rsid w:val="001E3AC4"/>
    <w:rsid w:val="001E5980"/>
    <w:rsid w:val="001F0E26"/>
    <w:rsid w:val="001F528C"/>
    <w:rsid w:val="001F5760"/>
    <w:rsid w:val="001F5884"/>
    <w:rsid w:val="001F6FE1"/>
    <w:rsid w:val="001F783D"/>
    <w:rsid w:val="002004F1"/>
    <w:rsid w:val="00200B7F"/>
    <w:rsid w:val="00204DF8"/>
    <w:rsid w:val="00204EAB"/>
    <w:rsid w:val="002106CF"/>
    <w:rsid w:val="002130FA"/>
    <w:rsid w:val="00215B68"/>
    <w:rsid w:val="00216D1D"/>
    <w:rsid w:val="00220A29"/>
    <w:rsid w:val="0022306F"/>
    <w:rsid w:val="0022356D"/>
    <w:rsid w:val="0022599A"/>
    <w:rsid w:val="00231403"/>
    <w:rsid w:val="00231F1B"/>
    <w:rsid w:val="00240971"/>
    <w:rsid w:val="00240F40"/>
    <w:rsid w:val="00241531"/>
    <w:rsid w:val="00242999"/>
    <w:rsid w:val="00242D63"/>
    <w:rsid w:val="00243170"/>
    <w:rsid w:val="0024339B"/>
    <w:rsid w:val="0024344B"/>
    <w:rsid w:val="002439AB"/>
    <w:rsid w:val="00243B78"/>
    <w:rsid w:val="0024489F"/>
    <w:rsid w:val="0024637D"/>
    <w:rsid w:val="002463B3"/>
    <w:rsid w:val="002517A7"/>
    <w:rsid w:val="002529C1"/>
    <w:rsid w:val="00255C8F"/>
    <w:rsid w:val="00257928"/>
    <w:rsid w:val="00262D60"/>
    <w:rsid w:val="00265752"/>
    <w:rsid w:val="00265F9E"/>
    <w:rsid w:val="0027020B"/>
    <w:rsid w:val="002708C3"/>
    <w:rsid w:val="00272BD0"/>
    <w:rsid w:val="00273B6C"/>
    <w:rsid w:val="002753D7"/>
    <w:rsid w:val="002769F6"/>
    <w:rsid w:val="00276C3A"/>
    <w:rsid w:val="002771F0"/>
    <w:rsid w:val="00280134"/>
    <w:rsid w:val="00284A84"/>
    <w:rsid w:val="00285200"/>
    <w:rsid w:val="00286929"/>
    <w:rsid w:val="002903FE"/>
    <w:rsid w:val="00291223"/>
    <w:rsid w:val="0029348E"/>
    <w:rsid w:val="0029549E"/>
    <w:rsid w:val="002963AA"/>
    <w:rsid w:val="0029682F"/>
    <w:rsid w:val="002A0258"/>
    <w:rsid w:val="002A3C98"/>
    <w:rsid w:val="002B004A"/>
    <w:rsid w:val="002B26C9"/>
    <w:rsid w:val="002B529E"/>
    <w:rsid w:val="002C08A6"/>
    <w:rsid w:val="002C197E"/>
    <w:rsid w:val="002C2985"/>
    <w:rsid w:val="002C3C53"/>
    <w:rsid w:val="002C4384"/>
    <w:rsid w:val="002C685D"/>
    <w:rsid w:val="002D0107"/>
    <w:rsid w:val="002D44CF"/>
    <w:rsid w:val="002D6B15"/>
    <w:rsid w:val="002D70E7"/>
    <w:rsid w:val="002D7111"/>
    <w:rsid w:val="002D7FCA"/>
    <w:rsid w:val="002E0E43"/>
    <w:rsid w:val="002E5DDB"/>
    <w:rsid w:val="002F0449"/>
    <w:rsid w:val="002F193E"/>
    <w:rsid w:val="002F32C0"/>
    <w:rsid w:val="002F3955"/>
    <w:rsid w:val="002F51BF"/>
    <w:rsid w:val="002F54BE"/>
    <w:rsid w:val="00301E7E"/>
    <w:rsid w:val="00303D00"/>
    <w:rsid w:val="003100F0"/>
    <w:rsid w:val="003104C5"/>
    <w:rsid w:val="00314E13"/>
    <w:rsid w:val="0031705C"/>
    <w:rsid w:val="00322852"/>
    <w:rsid w:val="00322A3C"/>
    <w:rsid w:val="00325107"/>
    <w:rsid w:val="0032656E"/>
    <w:rsid w:val="00326838"/>
    <w:rsid w:val="00330613"/>
    <w:rsid w:val="00330F29"/>
    <w:rsid w:val="003320E9"/>
    <w:rsid w:val="00333F79"/>
    <w:rsid w:val="003345DB"/>
    <w:rsid w:val="003367BC"/>
    <w:rsid w:val="003368FB"/>
    <w:rsid w:val="00336E79"/>
    <w:rsid w:val="00342DB4"/>
    <w:rsid w:val="00342E46"/>
    <w:rsid w:val="00343381"/>
    <w:rsid w:val="003442BF"/>
    <w:rsid w:val="00344E04"/>
    <w:rsid w:val="003455ED"/>
    <w:rsid w:val="00345705"/>
    <w:rsid w:val="00345AF5"/>
    <w:rsid w:val="00354AAA"/>
    <w:rsid w:val="00355226"/>
    <w:rsid w:val="00356A7B"/>
    <w:rsid w:val="00361AE4"/>
    <w:rsid w:val="00363F71"/>
    <w:rsid w:val="003640BC"/>
    <w:rsid w:val="00364284"/>
    <w:rsid w:val="00364AD0"/>
    <w:rsid w:val="00370EC5"/>
    <w:rsid w:val="00371EE9"/>
    <w:rsid w:val="00374A70"/>
    <w:rsid w:val="00374B43"/>
    <w:rsid w:val="00374E9D"/>
    <w:rsid w:val="00375580"/>
    <w:rsid w:val="00375789"/>
    <w:rsid w:val="00375A82"/>
    <w:rsid w:val="00375C41"/>
    <w:rsid w:val="00375C8A"/>
    <w:rsid w:val="0037632E"/>
    <w:rsid w:val="0037664C"/>
    <w:rsid w:val="00376C15"/>
    <w:rsid w:val="00380385"/>
    <w:rsid w:val="00380FB5"/>
    <w:rsid w:val="00380FF7"/>
    <w:rsid w:val="00384150"/>
    <w:rsid w:val="003846BA"/>
    <w:rsid w:val="00386040"/>
    <w:rsid w:val="00391334"/>
    <w:rsid w:val="0039253A"/>
    <w:rsid w:val="00393FCA"/>
    <w:rsid w:val="00396807"/>
    <w:rsid w:val="003A22D9"/>
    <w:rsid w:val="003A26D6"/>
    <w:rsid w:val="003A3F6A"/>
    <w:rsid w:val="003A6011"/>
    <w:rsid w:val="003A74B7"/>
    <w:rsid w:val="003B02A7"/>
    <w:rsid w:val="003B1AF1"/>
    <w:rsid w:val="003B1D2D"/>
    <w:rsid w:val="003B2A53"/>
    <w:rsid w:val="003B2D1C"/>
    <w:rsid w:val="003B32A7"/>
    <w:rsid w:val="003B49AA"/>
    <w:rsid w:val="003B5B0F"/>
    <w:rsid w:val="003B5D73"/>
    <w:rsid w:val="003C0A63"/>
    <w:rsid w:val="003C0C46"/>
    <w:rsid w:val="003C1D82"/>
    <w:rsid w:val="003C2817"/>
    <w:rsid w:val="003C2911"/>
    <w:rsid w:val="003C2A0A"/>
    <w:rsid w:val="003C43B4"/>
    <w:rsid w:val="003D099B"/>
    <w:rsid w:val="003D35F8"/>
    <w:rsid w:val="003D3EBD"/>
    <w:rsid w:val="003D40BC"/>
    <w:rsid w:val="003D5FD8"/>
    <w:rsid w:val="003D6A3E"/>
    <w:rsid w:val="003D7559"/>
    <w:rsid w:val="003D7756"/>
    <w:rsid w:val="003E03A4"/>
    <w:rsid w:val="003E1163"/>
    <w:rsid w:val="003E5F2F"/>
    <w:rsid w:val="003F09F9"/>
    <w:rsid w:val="003F1E78"/>
    <w:rsid w:val="003F2437"/>
    <w:rsid w:val="003F2720"/>
    <w:rsid w:val="003F38A5"/>
    <w:rsid w:val="003F4C79"/>
    <w:rsid w:val="003F50A8"/>
    <w:rsid w:val="003F7E14"/>
    <w:rsid w:val="00401B31"/>
    <w:rsid w:val="0040216D"/>
    <w:rsid w:val="00402727"/>
    <w:rsid w:val="00404AAE"/>
    <w:rsid w:val="00407CC7"/>
    <w:rsid w:val="00411DF5"/>
    <w:rsid w:val="0041267D"/>
    <w:rsid w:val="0041345F"/>
    <w:rsid w:val="004136DE"/>
    <w:rsid w:val="0041486C"/>
    <w:rsid w:val="00414ACC"/>
    <w:rsid w:val="00414F65"/>
    <w:rsid w:val="00416D00"/>
    <w:rsid w:val="00416E6F"/>
    <w:rsid w:val="00417158"/>
    <w:rsid w:val="00422CCB"/>
    <w:rsid w:val="00431E06"/>
    <w:rsid w:val="00432598"/>
    <w:rsid w:val="004333A0"/>
    <w:rsid w:val="0043401E"/>
    <w:rsid w:val="00434D18"/>
    <w:rsid w:val="00437EBC"/>
    <w:rsid w:val="00441CDB"/>
    <w:rsid w:val="00441E2F"/>
    <w:rsid w:val="00442132"/>
    <w:rsid w:val="00442D92"/>
    <w:rsid w:val="0044373E"/>
    <w:rsid w:val="00445622"/>
    <w:rsid w:val="00445DE2"/>
    <w:rsid w:val="004478F4"/>
    <w:rsid w:val="00450688"/>
    <w:rsid w:val="00451C83"/>
    <w:rsid w:val="00452CC3"/>
    <w:rsid w:val="00454656"/>
    <w:rsid w:val="00454AAD"/>
    <w:rsid w:val="00455C42"/>
    <w:rsid w:val="00460096"/>
    <w:rsid w:val="00461655"/>
    <w:rsid w:val="00461C41"/>
    <w:rsid w:val="00464237"/>
    <w:rsid w:val="00464679"/>
    <w:rsid w:val="00465518"/>
    <w:rsid w:val="00465955"/>
    <w:rsid w:val="00467675"/>
    <w:rsid w:val="00467B89"/>
    <w:rsid w:val="00470878"/>
    <w:rsid w:val="00471DB7"/>
    <w:rsid w:val="0047279C"/>
    <w:rsid w:val="00472CF2"/>
    <w:rsid w:val="004748A1"/>
    <w:rsid w:val="0047552F"/>
    <w:rsid w:val="00477A91"/>
    <w:rsid w:val="0048077B"/>
    <w:rsid w:val="00482B01"/>
    <w:rsid w:val="00483DB7"/>
    <w:rsid w:val="0048432E"/>
    <w:rsid w:val="00484D13"/>
    <w:rsid w:val="0048638A"/>
    <w:rsid w:val="00486F5C"/>
    <w:rsid w:val="00487947"/>
    <w:rsid w:val="00490658"/>
    <w:rsid w:val="00490974"/>
    <w:rsid w:val="00493FBE"/>
    <w:rsid w:val="00494B7E"/>
    <w:rsid w:val="00496833"/>
    <w:rsid w:val="00497855"/>
    <w:rsid w:val="004A15F5"/>
    <w:rsid w:val="004A1A4E"/>
    <w:rsid w:val="004A26F5"/>
    <w:rsid w:val="004B3E10"/>
    <w:rsid w:val="004B62B9"/>
    <w:rsid w:val="004C053F"/>
    <w:rsid w:val="004C0D8C"/>
    <w:rsid w:val="004C1450"/>
    <w:rsid w:val="004C2D28"/>
    <w:rsid w:val="004C2F4D"/>
    <w:rsid w:val="004C382D"/>
    <w:rsid w:val="004C40B4"/>
    <w:rsid w:val="004C46F9"/>
    <w:rsid w:val="004C7417"/>
    <w:rsid w:val="004D46EC"/>
    <w:rsid w:val="004D48E8"/>
    <w:rsid w:val="004D542E"/>
    <w:rsid w:val="004D7092"/>
    <w:rsid w:val="004D73C4"/>
    <w:rsid w:val="004E1805"/>
    <w:rsid w:val="004E239D"/>
    <w:rsid w:val="004E3459"/>
    <w:rsid w:val="004E3479"/>
    <w:rsid w:val="004E3F97"/>
    <w:rsid w:val="004E4049"/>
    <w:rsid w:val="004E4A3D"/>
    <w:rsid w:val="004E4C72"/>
    <w:rsid w:val="004E6135"/>
    <w:rsid w:val="004F19C2"/>
    <w:rsid w:val="004F4D6F"/>
    <w:rsid w:val="004F5A77"/>
    <w:rsid w:val="004F61A6"/>
    <w:rsid w:val="004F7249"/>
    <w:rsid w:val="005012B7"/>
    <w:rsid w:val="00501991"/>
    <w:rsid w:val="0050795D"/>
    <w:rsid w:val="00511BEF"/>
    <w:rsid w:val="00511C04"/>
    <w:rsid w:val="00512E6C"/>
    <w:rsid w:val="0051346F"/>
    <w:rsid w:val="005141D9"/>
    <w:rsid w:val="005157BC"/>
    <w:rsid w:val="00515C9B"/>
    <w:rsid w:val="00516651"/>
    <w:rsid w:val="005173F3"/>
    <w:rsid w:val="00520457"/>
    <w:rsid w:val="00520554"/>
    <w:rsid w:val="00520700"/>
    <w:rsid w:val="00520783"/>
    <w:rsid w:val="00521569"/>
    <w:rsid w:val="00521EA9"/>
    <w:rsid w:val="00525C06"/>
    <w:rsid w:val="00530282"/>
    <w:rsid w:val="005318A5"/>
    <w:rsid w:val="00531DFB"/>
    <w:rsid w:val="00534E16"/>
    <w:rsid w:val="00535670"/>
    <w:rsid w:val="00536160"/>
    <w:rsid w:val="0053696E"/>
    <w:rsid w:val="0054286B"/>
    <w:rsid w:val="00543372"/>
    <w:rsid w:val="00546CFE"/>
    <w:rsid w:val="0055089D"/>
    <w:rsid w:val="0055182F"/>
    <w:rsid w:val="00552595"/>
    <w:rsid w:val="00554535"/>
    <w:rsid w:val="00554D0D"/>
    <w:rsid w:val="00554F44"/>
    <w:rsid w:val="00555113"/>
    <w:rsid w:val="005554CD"/>
    <w:rsid w:val="005564F6"/>
    <w:rsid w:val="00556F66"/>
    <w:rsid w:val="00557433"/>
    <w:rsid w:val="00557917"/>
    <w:rsid w:val="00564608"/>
    <w:rsid w:val="00565B4F"/>
    <w:rsid w:val="00565D19"/>
    <w:rsid w:val="00571492"/>
    <w:rsid w:val="00571564"/>
    <w:rsid w:val="00573AE5"/>
    <w:rsid w:val="0057405D"/>
    <w:rsid w:val="00576358"/>
    <w:rsid w:val="00577B95"/>
    <w:rsid w:val="00580339"/>
    <w:rsid w:val="005823C0"/>
    <w:rsid w:val="00582750"/>
    <w:rsid w:val="00584B26"/>
    <w:rsid w:val="00584BE1"/>
    <w:rsid w:val="0059045A"/>
    <w:rsid w:val="00592830"/>
    <w:rsid w:val="00592CE4"/>
    <w:rsid w:val="005949F2"/>
    <w:rsid w:val="00594F2D"/>
    <w:rsid w:val="0059771B"/>
    <w:rsid w:val="005A2B27"/>
    <w:rsid w:val="005A481F"/>
    <w:rsid w:val="005A55AB"/>
    <w:rsid w:val="005A7884"/>
    <w:rsid w:val="005B2C13"/>
    <w:rsid w:val="005B3DFD"/>
    <w:rsid w:val="005B4D80"/>
    <w:rsid w:val="005B587F"/>
    <w:rsid w:val="005B5C37"/>
    <w:rsid w:val="005B6AD8"/>
    <w:rsid w:val="005B75C2"/>
    <w:rsid w:val="005B76DE"/>
    <w:rsid w:val="005B7C14"/>
    <w:rsid w:val="005C147D"/>
    <w:rsid w:val="005C2DE1"/>
    <w:rsid w:val="005D14D1"/>
    <w:rsid w:val="005D16AF"/>
    <w:rsid w:val="005D19AA"/>
    <w:rsid w:val="005D2830"/>
    <w:rsid w:val="005D4BD6"/>
    <w:rsid w:val="005D5145"/>
    <w:rsid w:val="005D6122"/>
    <w:rsid w:val="005D6E9A"/>
    <w:rsid w:val="005E157A"/>
    <w:rsid w:val="005E1BC0"/>
    <w:rsid w:val="005E1FDC"/>
    <w:rsid w:val="005E20F6"/>
    <w:rsid w:val="005E6344"/>
    <w:rsid w:val="005E78D8"/>
    <w:rsid w:val="005F08DA"/>
    <w:rsid w:val="005F114C"/>
    <w:rsid w:val="005F282D"/>
    <w:rsid w:val="005F451B"/>
    <w:rsid w:val="005F6E34"/>
    <w:rsid w:val="006007DB"/>
    <w:rsid w:val="00601C9D"/>
    <w:rsid w:val="00601DEB"/>
    <w:rsid w:val="006035F7"/>
    <w:rsid w:val="006042DC"/>
    <w:rsid w:val="00606286"/>
    <w:rsid w:val="00606E74"/>
    <w:rsid w:val="0060735D"/>
    <w:rsid w:val="006109E5"/>
    <w:rsid w:val="00612A75"/>
    <w:rsid w:val="00613E63"/>
    <w:rsid w:val="00623698"/>
    <w:rsid w:val="00625FB3"/>
    <w:rsid w:val="0062671C"/>
    <w:rsid w:val="00626F63"/>
    <w:rsid w:val="006278D6"/>
    <w:rsid w:val="00632AC6"/>
    <w:rsid w:val="00632B44"/>
    <w:rsid w:val="0063703A"/>
    <w:rsid w:val="00637BCF"/>
    <w:rsid w:val="00644D8D"/>
    <w:rsid w:val="00646A0E"/>
    <w:rsid w:val="006541BF"/>
    <w:rsid w:val="00654DE8"/>
    <w:rsid w:val="00655268"/>
    <w:rsid w:val="00655DCD"/>
    <w:rsid w:val="00661BEA"/>
    <w:rsid w:val="0066219E"/>
    <w:rsid w:val="00662343"/>
    <w:rsid w:val="0066242C"/>
    <w:rsid w:val="00663235"/>
    <w:rsid w:val="00664426"/>
    <w:rsid w:val="00667EA8"/>
    <w:rsid w:val="0067014E"/>
    <w:rsid w:val="006708A3"/>
    <w:rsid w:val="00670BBA"/>
    <w:rsid w:val="006724C2"/>
    <w:rsid w:val="00673460"/>
    <w:rsid w:val="006754A3"/>
    <w:rsid w:val="00683807"/>
    <w:rsid w:val="00684A07"/>
    <w:rsid w:val="006871C5"/>
    <w:rsid w:val="00690478"/>
    <w:rsid w:val="0069266C"/>
    <w:rsid w:val="006935F2"/>
    <w:rsid w:val="00695A8D"/>
    <w:rsid w:val="006A1705"/>
    <w:rsid w:val="006A3031"/>
    <w:rsid w:val="006C09ED"/>
    <w:rsid w:val="006C22C1"/>
    <w:rsid w:val="006C4EE9"/>
    <w:rsid w:val="006C5EF0"/>
    <w:rsid w:val="006C6CBE"/>
    <w:rsid w:val="006D101A"/>
    <w:rsid w:val="006D1032"/>
    <w:rsid w:val="006D148F"/>
    <w:rsid w:val="006D1680"/>
    <w:rsid w:val="006D2220"/>
    <w:rsid w:val="006D4256"/>
    <w:rsid w:val="006D59C9"/>
    <w:rsid w:val="006D5DB9"/>
    <w:rsid w:val="006D7172"/>
    <w:rsid w:val="006E0B3F"/>
    <w:rsid w:val="006E15C8"/>
    <w:rsid w:val="006E2B6B"/>
    <w:rsid w:val="006E2CFF"/>
    <w:rsid w:val="006E730D"/>
    <w:rsid w:val="006F0918"/>
    <w:rsid w:val="006F7B01"/>
    <w:rsid w:val="00700D18"/>
    <w:rsid w:val="00700FBC"/>
    <w:rsid w:val="00702CD6"/>
    <w:rsid w:val="0070599E"/>
    <w:rsid w:val="00705B7D"/>
    <w:rsid w:val="00706876"/>
    <w:rsid w:val="00711520"/>
    <w:rsid w:val="007125FB"/>
    <w:rsid w:val="0071381D"/>
    <w:rsid w:val="00715EEF"/>
    <w:rsid w:val="007165C6"/>
    <w:rsid w:val="0072017F"/>
    <w:rsid w:val="007218B8"/>
    <w:rsid w:val="00721E9A"/>
    <w:rsid w:val="00724AA3"/>
    <w:rsid w:val="0072503E"/>
    <w:rsid w:val="00727371"/>
    <w:rsid w:val="00727A58"/>
    <w:rsid w:val="00727BEA"/>
    <w:rsid w:val="0073257F"/>
    <w:rsid w:val="007326BB"/>
    <w:rsid w:val="00735335"/>
    <w:rsid w:val="00736A4C"/>
    <w:rsid w:val="00737433"/>
    <w:rsid w:val="00743443"/>
    <w:rsid w:val="007436A1"/>
    <w:rsid w:val="007444F8"/>
    <w:rsid w:val="0074510E"/>
    <w:rsid w:val="007458AB"/>
    <w:rsid w:val="0074600E"/>
    <w:rsid w:val="00747E7F"/>
    <w:rsid w:val="00752208"/>
    <w:rsid w:val="007526A3"/>
    <w:rsid w:val="0075306B"/>
    <w:rsid w:val="0075307F"/>
    <w:rsid w:val="00753C73"/>
    <w:rsid w:val="00755066"/>
    <w:rsid w:val="007565B6"/>
    <w:rsid w:val="00760C49"/>
    <w:rsid w:val="00762660"/>
    <w:rsid w:val="00763450"/>
    <w:rsid w:val="0076396A"/>
    <w:rsid w:val="00763E62"/>
    <w:rsid w:val="00763FEB"/>
    <w:rsid w:val="0076414B"/>
    <w:rsid w:val="00767374"/>
    <w:rsid w:val="007714F3"/>
    <w:rsid w:val="00773F20"/>
    <w:rsid w:val="00774729"/>
    <w:rsid w:val="00775AE8"/>
    <w:rsid w:val="00775F2E"/>
    <w:rsid w:val="007772D4"/>
    <w:rsid w:val="00777650"/>
    <w:rsid w:val="007777ED"/>
    <w:rsid w:val="00783C64"/>
    <w:rsid w:val="00784710"/>
    <w:rsid w:val="00785F26"/>
    <w:rsid w:val="00790026"/>
    <w:rsid w:val="007925DF"/>
    <w:rsid w:val="0079362B"/>
    <w:rsid w:val="007946CA"/>
    <w:rsid w:val="00795593"/>
    <w:rsid w:val="00795D9A"/>
    <w:rsid w:val="00796F8F"/>
    <w:rsid w:val="00797498"/>
    <w:rsid w:val="007A3791"/>
    <w:rsid w:val="007A5EAB"/>
    <w:rsid w:val="007A73C1"/>
    <w:rsid w:val="007B18E7"/>
    <w:rsid w:val="007B3FDA"/>
    <w:rsid w:val="007B72FF"/>
    <w:rsid w:val="007B76AC"/>
    <w:rsid w:val="007B79FE"/>
    <w:rsid w:val="007C2435"/>
    <w:rsid w:val="007C3A42"/>
    <w:rsid w:val="007C40CB"/>
    <w:rsid w:val="007C4899"/>
    <w:rsid w:val="007C58E2"/>
    <w:rsid w:val="007C7F5C"/>
    <w:rsid w:val="007D35F1"/>
    <w:rsid w:val="007D6E06"/>
    <w:rsid w:val="007D6F62"/>
    <w:rsid w:val="007E0367"/>
    <w:rsid w:val="007E0546"/>
    <w:rsid w:val="007E2174"/>
    <w:rsid w:val="007E2871"/>
    <w:rsid w:val="007F0F06"/>
    <w:rsid w:val="007F26BC"/>
    <w:rsid w:val="007F4940"/>
    <w:rsid w:val="007F6AF3"/>
    <w:rsid w:val="007F6D33"/>
    <w:rsid w:val="007F7676"/>
    <w:rsid w:val="008005FB"/>
    <w:rsid w:val="0080064A"/>
    <w:rsid w:val="0080450E"/>
    <w:rsid w:val="00804A2C"/>
    <w:rsid w:val="00811914"/>
    <w:rsid w:val="00811EE0"/>
    <w:rsid w:val="0081457E"/>
    <w:rsid w:val="008147AA"/>
    <w:rsid w:val="00816268"/>
    <w:rsid w:val="008224B1"/>
    <w:rsid w:val="0082640B"/>
    <w:rsid w:val="00827259"/>
    <w:rsid w:val="00827310"/>
    <w:rsid w:val="008279D4"/>
    <w:rsid w:val="008318F6"/>
    <w:rsid w:val="00835683"/>
    <w:rsid w:val="00835A6E"/>
    <w:rsid w:val="00835F74"/>
    <w:rsid w:val="00835F90"/>
    <w:rsid w:val="00842EE5"/>
    <w:rsid w:val="008465E6"/>
    <w:rsid w:val="00853107"/>
    <w:rsid w:val="00853A8D"/>
    <w:rsid w:val="0085435D"/>
    <w:rsid w:val="00860C3D"/>
    <w:rsid w:val="00860D9B"/>
    <w:rsid w:val="00861E13"/>
    <w:rsid w:val="00863F08"/>
    <w:rsid w:val="008662B6"/>
    <w:rsid w:val="00866B1A"/>
    <w:rsid w:val="008670D9"/>
    <w:rsid w:val="00867D62"/>
    <w:rsid w:val="00871C54"/>
    <w:rsid w:val="00871FF4"/>
    <w:rsid w:val="00872374"/>
    <w:rsid w:val="00873043"/>
    <w:rsid w:val="00873DBE"/>
    <w:rsid w:val="00873E0B"/>
    <w:rsid w:val="00874328"/>
    <w:rsid w:val="00875B0B"/>
    <w:rsid w:val="00880A9D"/>
    <w:rsid w:val="00881DEA"/>
    <w:rsid w:val="00882FE4"/>
    <w:rsid w:val="00884221"/>
    <w:rsid w:val="008855B1"/>
    <w:rsid w:val="00885792"/>
    <w:rsid w:val="00887362"/>
    <w:rsid w:val="008906C6"/>
    <w:rsid w:val="008A12C3"/>
    <w:rsid w:val="008A4092"/>
    <w:rsid w:val="008A4C95"/>
    <w:rsid w:val="008A7CA6"/>
    <w:rsid w:val="008B06A8"/>
    <w:rsid w:val="008B2062"/>
    <w:rsid w:val="008B65C7"/>
    <w:rsid w:val="008C0333"/>
    <w:rsid w:val="008C12A0"/>
    <w:rsid w:val="008C1FD1"/>
    <w:rsid w:val="008C4821"/>
    <w:rsid w:val="008C6A89"/>
    <w:rsid w:val="008D014A"/>
    <w:rsid w:val="008D0564"/>
    <w:rsid w:val="008D65F3"/>
    <w:rsid w:val="008D68EB"/>
    <w:rsid w:val="008D791F"/>
    <w:rsid w:val="008E0482"/>
    <w:rsid w:val="008E08BB"/>
    <w:rsid w:val="008E47C6"/>
    <w:rsid w:val="008E555F"/>
    <w:rsid w:val="008E5D3E"/>
    <w:rsid w:val="008F039A"/>
    <w:rsid w:val="008F1963"/>
    <w:rsid w:val="008F1DA6"/>
    <w:rsid w:val="008F657A"/>
    <w:rsid w:val="008F771B"/>
    <w:rsid w:val="00902441"/>
    <w:rsid w:val="00905BFE"/>
    <w:rsid w:val="009066F8"/>
    <w:rsid w:val="00907003"/>
    <w:rsid w:val="009109C5"/>
    <w:rsid w:val="009157C8"/>
    <w:rsid w:val="0091750C"/>
    <w:rsid w:val="009179B8"/>
    <w:rsid w:val="00917A9F"/>
    <w:rsid w:val="00921E26"/>
    <w:rsid w:val="00924B2B"/>
    <w:rsid w:val="00925FE3"/>
    <w:rsid w:val="0093021F"/>
    <w:rsid w:val="0093433C"/>
    <w:rsid w:val="009372F5"/>
    <w:rsid w:val="009402E1"/>
    <w:rsid w:val="0094268F"/>
    <w:rsid w:val="00946A9D"/>
    <w:rsid w:val="009527E8"/>
    <w:rsid w:val="0095563E"/>
    <w:rsid w:val="00955AB3"/>
    <w:rsid w:val="009564F8"/>
    <w:rsid w:val="00956F71"/>
    <w:rsid w:val="0096206B"/>
    <w:rsid w:val="009648C3"/>
    <w:rsid w:val="00967B46"/>
    <w:rsid w:val="009724B5"/>
    <w:rsid w:val="00972AAF"/>
    <w:rsid w:val="009749F6"/>
    <w:rsid w:val="00976766"/>
    <w:rsid w:val="00981F78"/>
    <w:rsid w:val="00983180"/>
    <w:rsid w:val="00983586"/>
    <w:rsid w:val="0098411D"/>
    <w:rsid w:val="00984222"/>
    <w:rsid w:val="0098575D"/>
    <w:rsid w:val="00986C88"/>
    <w:rsid w:val="00987254"/>
    <w:rsid w:val="00987F73"/>
    <w:rsid w:val="00990E11"/>
    <w:rsid w:val="00991708"/>
    <w:rsid w:val="00994C35"/>
    <w:rsid w:val="00996D43"/>
    <w:rsid w:val="0099736F"/>
    <w:rsid w:val="009973EE"/>
    <w:rsid w:val="009A0298"/>
    <w:rsid w:val="009A0308"/>
    <w:rsid w:val="009A07FC"/>
    <w:rsid w:val="009A0B52"/>
    <w:rsid w:val="009A1B3E"/>
    <w:rsid w:val="009A497C"/>
    <w:rsid w:val="009A4AD0"/>
    <w:rsid w:val="009A529D"/>
    <w:rsid w:val="009A54A1"/>
    <w:rsid w:val="009A7358"/>
    <w:rsid w:val="009B0275"/>
    <w:rsid w:val="009B0BE5"/>
    <w:rsid w:val="009B13BB"/>
    <w:rsid w:val="009B35E5"/>
    <w:rsid w:val="009B5A65"/>
    <w:rsid w:val="009B5C56"/>
    <w:rsid w:val="009C12D3"/>
    <w:rsid w:val="009C2511"/>
    <w:rsid w:val="009C2EC1"/>
    <w:rsid w:val="009C3402"/>
    <w:rsid w:val="009C57D5"/>
    <w:rsid w:val="009D1B60"/>
    <w:rsid w:val="009D291F"/>
    <w:rsid w:val="009D44E3"/>
    <w:rsid w:val="009E2CDE"/>
    <w:rsid w:val="009E4F06"/>
    <w:rsid w:val="009F0A78"/>
    <w:rsid w:val="009F3873"/>
    <w:rsid w:val="009F5100"/>
    <w:rsid w:val="009F643B"/>
    <w:rsid w:val="009F7A99"/>
    <w:rsid w:val="00A0019F"/>
    <w:rsid w:val="00A034EF"/>
    <w:rsid w:val="00A05DAD"/>
    <w:rsid w:val="00A067C2"/>
    <w:rsid w:val="00A107C8"/>
    <w:rsid w:val="00A11DE6"/>
    <w:rsid w:val="00A152CC"/>
    <w:rsid w:val="00A1671E"/>
    <w:rsid w:val="00A1672B"/>
    <w:rsid w:val="00A16DF5"/>
    <w:rsid w:val="00A20CA1"/>
    <w:rsid w:val="00A25F6D"/>
    <w:rsid w:val="00A26802"/>
    <w:rsid w:val="00A300AC"/>
    <w:rsid w:val="00A34141"/>
    <w:rsid w:val="00A34B2C"/>
    <w:rsid w:val="00A36634"/>
    <w:rsid w:val="00A4291C"/>
    <w:rsid w:val="00A429FD"/>
    <w:rsid w:val="00A433F8"/>
    <w:rsid w:val="00A44263"/>
    <w:rsid w:val="00A44EA9"/>
    <w:rsid w:val="00A4591B"/>
    <w:rsid w:val="00A45F63"/>
    <w:rsid w:val="00A45FB4"/>
    <w:rsid w:val="00A5226F"/>
    <w:rsid w:val="00A527BD"/>
    <w:rsid w:val="00A544E4"/>
    <w:rsid w:val="00A5730E"/>
    <w:rsid w:val="00A5796A"/>
    <w:rsid w:val="00A60B6A"/>
    <w:rsid w:val="00A615EE"/>
    <w:rsid w:val="00A64410"/>
    <w:rsid w:val="00A6654E"/>
    <w:rsid w:val="00A701E9"/>
    <w:rsid w:val="00A714E0"/>
    <w:rsid w:val="00A72A8B"/>
    <w:rsid w:val="00A732F4"/>
    <w:rsid w:val="00A736D2"/>
    <w:rsid w:val="00A76DDA"/>
    <w:rsid w:val="00A77DBB"/>
    <w:rsid w:val="00A81490"/>
    <w:rsid w:val="00A81FCA"/>
    <w:rsid w:val="00A825DA"/>
    <w:rsid w:val="00A84CCB"/>
    <w:rsid w:val="00A85BB7"/>
    <w:rsid w:val="00A8680F"/>
    <w:rsid w:val="00A86A05"/>
    <w:rsid w:val="00A92FF2"/>
    <w:rsid w:val="00A9413A"/>
    <w:rsid w:val="00A952CD"/>
    <w:rsid w:val="00A97ED7"/>
    <w:rsid w:val="00AA027B"/>
    <w:rsid w:val="00AA2BA0"/>
    <w:rsid w:val="00AA2BB8"/>
    <w:rsid w:val="00AA43BC"/>
    <w:rsid w:val="00AA6949"/>
    <w:rsid w:val="00AA6CEE"/>
    <w:rsid w:val="00AB0C80"/>
    <w:rsid w:val="00AB3ED3"/>
    <w:rsid w:val="00AB466D"/>
    <w:rsid w:val="00AB48BF"/>
    <w:rsid w:val="00AB4D42"/>
    <w:rsid w:val="00AC0832"/>
    <w:rsid w:val="00AC2222"/>
    <w:rsid w:val="00AC2ABF"/>
    <w:rsid w:val="00AC2CD2"/>
    <w:rsid w:val="00AC2E18"/>
    <w:rsid w:val="00AC6763"/>
    <w:rsid w:val="00AD099D"/>
    <w:rsid w:val="00AD2E4A"/>
    <w:rsid w:val="00AD4565"/>
    <w:rsid w:val="00AD485F"/>
    <w:rsid w:val="00AD79A1"/>
    <w:rsid w:val="00AE04D3"/>
    <w:rsid w:val="00AE2D25"/>
    <w:rsid w:val="00AE3005"/>
    <w:rsid w:val="00AE32D6"/>
    <w:rsid w:val="00AE331D"/>
    <w:rsid w:val="00AE7B69"/>
    <w:rsid w:val="00AE7B91"/>
    <w:rsid w:val="00AE7CB8"/>
    <w:rsid w:val="00AE7D63"/>
    <w:rsid w:val="00AF0955"/>
    <w:rsid w:val="00AF1043"/>
    <w:rsid w:val="00AF3F82"/>
    <w:rsid w:val="00AF6615"/>
    <w:rsid w:val="00AF73A3"/>
    <w:rsid w:val="00B0072A"/>
    <w:rsid w:val="00B030AE"/>
    <w:rsid w:val="00B039FB"/>
    <w:rsid w:val="00B04810"/>
    <w:rsid w:val="00B05214"/>
    <w:rsid w:val="00B07C49"/>
    <w:rsid w:val="00B1064D"/>
    <w:rsid w:val="00B1184C"/>
    <w:rsid w:val="00B13E7B"/>
    <w:rsid w:val="00B14133"/>
    <w:rsid w:val="00B14215"/>
    <w:rsid w:val="00B17B99"/>
    <w:rsid w:val="00B21254"/>
    <w:rsid w:val="00B21C30"/>
    <w:rsid w:val="00B24829"/>
    <w:rsid w:val="00B252E2"/>
    <w:rsid w:val="00B25EB6"/>
    <w:rsid w:val="00B279B9"/>
    <w:rsid w:val="00B31867"/>
    <w:rsid w:val="00B348EC"/>
    <w:rsid w:val="00B3593B"/>
    <w:rsid w:val="00B35957"/>
    <w:rsid w:val="00B35E58"/>
    <w:rsid w:val="00B379F6"/>
    <w:rsid w:val="00B41064"/>
    <w:rsid w:val="00B42AB2"/>
    <w:rsid w:val="00B45CEC"/>
    <w:rsid w:val="00B4655F"/>
    <w:rsid w:val="00B4664E"/>
    <w:rsid w:val="00B526AE"/>
    <w:rsid w:val="00B53B06"/>
    <w:rsid w:val="00B54B08"/>
    <w:rsid w:val="00B5716A"/>
    <w:rsid w:val="00B57902"/>
    <w:rsid w:val="00B61FF3"/>
    <w:rsid w:val="00B626F2"/>
    <w:rsid w:val="00B654C1"/>
    <w:rsid w:val="00B65EE3"/>
    <w:rsid w:val="00B674BF"/>
    <w:rsid w:val="00B67AEB"/>
    <w:rsid w:val="00B72915"/>
    <w:rsid w:val="00B74349"/>
    <w:rsid w:val="00B76470"/>
    <w:rsid w:val="00B76E3F"/>
    <w:rsid w:val="00B80521"/>
    <w:rsid w:val="00B81389"/>
    <w:rsid w:val="00B83FE8"/>
    <w:rsid w:val="00B849D9"/>
    <w:rsid w:val="00B852CE"/>
    <w:rsid w:val="00B874F2"/>
    <w:rsid w:val="00B91014"/>
    <w:rsid w:val="00B93EDC"/>
    <w:rsid w:val="00B976B4"/>
    <w:rsid w:val="00B97816"/>
    <w:rsid w:val="00B97F40"/>
    <w:rsid w:val="00BA1B97"/>
    <w:rsid w:val="00BA1D49"/>
    <w:rsid w:val="00BA4BA5"/>
    <w:rsid w:val="00BA57B9"/>
    <w:rsid w:val="00BB0EAB"/>
    <w:rsid w:val="00BB1192"/>
    <w:rsid w:val="00BB1A4D"/>
    <w:rsid w:val="00BB204A"/>
    <w:rsid w:val="00BB20FF"/>
    <w:rsid w:val="00BB3341"/>
    <w:rsid w:val="00BB3C17"/>
    <w:rsid w:val="00BC0C2D"/>
    <w:rsid w:val="00BC2282"/>
    <w:rsid w:val="00BC2560"/>
    <w:rsid w:val="00BC282D"/>
    <w:rsid w:val="00BC46EF"/>
    <w:rsid w:val="00BC4776"/>
    <w:rsid w:val="00BC6401"/>
    <w:rsid w:val="00BC7322"/>
    <w:rsid w:val="00BD1DFC"/>
    <w:rsid w:val="00BD5A81"/>
    <w:rsid w:val="00BE0568"/>
    <w:rsid w:val="00BE16DC"/>
    <w:rsid w:val="00BE383B"/>
    <w:rsid w:val="00BE44D8"/>
    <w:rsid w:val="00BE5F78"/>
    <w:rsid w:val="00BF1D67"/>
    <w:rsid w:val="00BF34D0"/>
    <w:rsid w:val="00BF3B41"/>
    <w:rsid w:val="00C00579"/>
    <w:rsid w:val="00C00E5F"/>
    <w:rsid w:val="00C01D29"/>
    <w:rsid w:val="00C030B2"/>
    <w:rsid w:val="00C032AB"/>
    <w:rsid w:val="00C06EE2"/>
    <w:rsid w:val="00C07A77"/>
    <w:rsid w:val="00C07B52"/>
    <w:rsid w:val="00C11121"/>
    <w:rsid w:val="00C210B5"/>
    <w:rsid w:val="00C22FD7"/>
    <w:rsid w:val="00C24DF1"/>
    <w:rsid w:val="00C25837"/>
    <w:rsid w:val="00C269CF"/>
    <w:rsid w:val="00C26B77"/>
    <w:rsid w:val="00C27354"/>
    <w:rsid w:val="00C32218"/>
    <w:rsid w:val="00C33E07"/>
    <w:rsid w:val="00C34002"/>
    <w:rsid w:val="00C344F1"/>
    <w:rsid w:val="00C34B00"/>
    <w:rsid w:val="00C359E6"/>
    <w:rsid w:val="00C37E7A"/>
    <w:rsid w:val="00C41CD1"/>
    <w:rsid w:val="00C41DF4"/>
    <w:rsid w:val="00C42A91"/>
    <w:rsid w:val="00C42BDE"/>
    <w:rsid w:val="00C42C61"/>
    <w:rsid w:val="00C4305F"/>
    <w:rsid w:val="00C4328D"/>
    <w:rsid w:val="00C44FCB"/>
    <w:rsid w:val="00C52551"/>
    <w:rsid w:val="00C53C90"/>
    <w:rsid w:val="00C54619"/>
    <w:rsid w:val="00C546B1"/>
    <w:rsid w:val="00C55103"/>
    <w:rsid w:val="00C55252"/>
    <w:rsid w:val="00C555E3"/>
    <w:rsid w:val="00C55E15"/>
    <w:rsid w:val="00C56375"/>
    <w:rsid w:val="00C57B8F"/>
    <w:rsid w:val="00C60127"/>
    <w:rsid w:val="00C615F2"/>
    <w:rsid w:val="00C62D9B"/>
    <w:rsid w:val="00C6308E"/>
    <w:rsid w:val="00C6382C"/>
    <w:rsid w:val="00C63FDF"/>
    <w:rsid w:val="00C64150"/>
    <w:rsid w:val="00C651F0"/>
    <w:rsid w:val="00C66063"/>
    <w:rsid w:val="00C662CD"/>
    <w:rsid w:val="00C66D25"/>
    <w:rsid w:val="00C67540"/>
    <w:rsid w:val="00C706F1"/>
    <w:rsid w:val="00C71A9F"/>
    <w:rsid w:val="00C71EE8"/>
    <w:rsid w:val="00C73F17"/>
    <w:rsid w:val="00C7635C"/>
    <w:rsid w:val="00C763B2"/>
    <w:rsid w:val="00C77368"/>
    <w:rsid w:val="00C77723"/>
    <w:rsid w:val="00C80BA1"/>
    <w:rsid w:val="00C8114F"/>
    <w:rsid w:val="00C8172B"/>
    <w:rsid w:val="00C82DD3"/>
    <w:rsid w:val="00C8341B"/>
    <w:rsid w:val="00C87BB0"/>
    <w:rsid w:val="00C91F3A"/>
    <w:rsid w:val="00C92B7F"/>
    <w:rsid w:val="00C94EDE"/>
    <w:rsid w:val="00C95B7A"/>
    <w:rsid w:val="00C9667D"/>
    <w:rsid w:val="00C975D8"/>
    <w:rsid w:val="00CA1A9B"/>
    <w:rsid w:val="00CA2D02"/>
    <w:rsid w:val="00CA36C2"/>
    <w:rsid w:val="00CA3EDD"/>
    <w:rsid w:val="00CA57C7"/>
    <w:rsid w:val="00CA63EF"/>
    <w:rsid w:val="00CB34C6"/>
    <w:rsid w:val="00CB3E63"/>
    <w:rsid w:val="00CB3EBB"/>
    <w:rsid w:val="00CC0B6A"/>
    <w:rsid w:val="00CC0CE4"/>
    <w:rsid w:val="00CC64D1"/>
    <w:rsid w:val="00CD187E"/>
    <w:rsid w:val="00CD203D"/>
    <w:rsid w:val="00CD466D"/>
    <w:rsid w:val="00CD48AB"/>
    <w:rsid w:val="00CD4A2C"/>
    <w:rsid w:val="00CD62A5"/>
    <w:rsid w:val="00CE4C30"/>
    <w:rsid w:val="00CF07C9"/>
    <w:rsid w:val="00CF0C9F"/>
    <w:rsid w:val="00CF0D7D"/>
    <w:rsid w:val="00CF19B0"/>
    <w:rsid w:val="00CF6B91"/>
    <w:rsid w:val="00CF7FCF"/>
    <w:rsid w:val="00D0059C"/>
    <w:rsid w:val="00D0180F"/>
    <w:rsid w:val="00D01F47"/>
    <w:rsid w:val="00D05174"/>
    <w:rsid w:val="00D0556F"/>
    <w:rsid w:val="00D05D19"/>
    <w:rsid w:val="00D1163F"/>
    <w:rsid w:val="00D12D1E"/>
    <w:rsid w:val="00D13534"/>
    <w:rsid w:val="00D1369F"/>
    <w:rsid w:val="00D150C8"/>
    <w:rsid w:val="00D15DD5"/>
    <w:rsid w:val="00D225C3"/>
    <w:rsid w:val="00D23613"/>
    <w:rsid w:val="00D2599F"/>
    <w:rsid w:val="00D25E8D"/>
    <w:rsid w:val="00D308A1"/>
    <w:rsid w:val="00D32517"/>
    <w:rsid w:val="00D34C90"/>
    <w:rsid w:val="00D40778"/>
    <w:rsid w:val="00D40A4D"/>
    <w:rsid w:val="00D42E62"/>
    <w:rsid w:val="00D441B7"/>
    <w:rsid w:val="00D464CB"/>
    <w:rsid w:val="00D47C84"/>
    <w:rsid w:val="00D50275"/>
    <w:rsid w:val="00D5120E"/>
    <w:rsid w:val="00D538A1"/>
    <w:rsid w:val="00D54476"/>
    <w:rsid w:val="00D562E8"/>
    <w:rsid w:val="00D567E5"/>
    <w:rsid w:val="00D57617"/>
    <w:rsid w:val="00D60071"/>
    <w:rsid w:val="00D606CD"/>
    <w:rsid w:val="00D61F59"/>
    <w:rsid w:val="00D67280"/>
    <w:rsid w:val="00D72169"/>
    <w:rsid w:val="00D721B4"/>
    <w:rsid w:val="00D725C7"/>
    <w:rsid w:val="00D72DF7"/>
    <w:rsid w:val="00D737BF"/>
    <w:rsid w:val="00D73A2D"/>
    <w:rsid w:val="00D77250"/>
    <w:rsid w:val="00D8150D"/>
    <w:rsid w:val="00D8160F"/>
    <w:rsid w:val="00D854BB"/>
    <w:rsid w:val="00D86308"/>
    <w:rsid w:val="00D877A4"/>
    <w:rsid w:val="00D87DE1"/>
    <w:rsid w:val="00D91922"/>
    <w:rsid w:val="00D91A5C"/>
    <w:rsid w:val="00D95EDD"/>
    <w:rsid w:val="00D9621E"/>
    <w:rsid w:val="00D97458"/>
    <w:rsid w:val="00D976AB"/>
    <w:rsid w:val="00DA1A01"/>
    <w:rsid w:val="00DA1B25"/>
    <w:rsid w:val="00DA2E6F"/>
    <w:rsid w:val="00DA5B47"/>
    <w:rsid w:val="00DA6C8C"/>
    <w:rsid w:val="00DB45FF"/>
    <w:rsid w:val="00DC23CC"/>
    <w:rsid w:val="00DC3515"/>
    <w:rsid w:val="00DD096B"/>
    <w:rsid w:val="00DD14A5"/>
    <w:rsid w:val="00DD181C"/>
    <w:rsid w:val="00DD1945"/>
    <w:rsid w:val="00DD2AFD"/>
    <w:rsid w:val="00DD36A1"/>
    <w:rsid w:val="00DD505E"/>
    <w:rsid w:val="00DD5229"/>
    <w:rsid w:val="00DD5299"/>
    <w:rsid w:val="00DD5620"/>
    <w:rsid w:val="00DD57BF"/>
    <w:rsid w:val="00DD646E"/>
    <w:rsid w:val="00DE1E01"/>
    <w:rsid w:val="00DE41F2"/>
    <w:rsid w:val="00DE6238"/>
    <w:rsid w:val="00DE7882"/>
    <w:rsid w:val="00DF0693"/>
    <w:rsid w:val="00DF555F"/>
    <w:rsid w:val="00DF7D0B"/>
    <w:rsid w:val="00E00770"/>
    <w:rsid w:val="00E00A80"/>
    <w:rsid w:val="00E01457"/>
    <w:rsid w:val="00E100B3"/>
    <w:rsid w:val="00E11C88"/>
    <w:rsid w:val="00E14B52"/>
    <w:rsid w:val="00E15656"/>
    <w:rsid w:val="00E1662F"/>
    <w:rsid w:val="00E220BE"/>
    <w:rsid w:val="00E228B8"/>
    <w:rsid w:val="00E22CB6"/>
    <w:rsid w:val="00E26E57"/>
    <w:rsid w:val="00E2755A"/>
    <w:rsid w:val="00E30BD2"/>
    <w:rsid w:val="00E31DF0"/>
    <w:rsid w:val="00E33B29"/>
    <w:rsid w:val="00E40CBE"/>
    <w:rsid w:val="00E42CEE"/>
    <w:rsid w:val="00E4321A"/>
    <w:rsid w:val="00E44F05"/>
    <w:rsid w:val="00E45499"/>
    <w:rsid w:val="00E46A80"/>
    <w:rsid w:val="00E5017A"/>
    <w:rsid w:val="00E50B04"/>
    <w:rsid w:val="00E51F44"/>
    <w:rsid w:val="00E52262"/>
    <w:rsid w:val="00E52A6A"/>
    <w:rsid w:val="00E53445"/>
    <w:rsid w:val="00E57CD9"/>
    <w:rsid w:val="00E63DAF"/>
    <w:rsid w:val="00E640FF"/>
    <w:rsid w:val="00E66E76"/>
    <w:rsid w:val="00E7231A"/>
    <w:rsid w:val="00E73FF1"/>
    <w:rsid w:val="00E7480E"/>
    <w:rsid w:val="00E74B50"/>
    <w:rsid w:val="00E80FD2"/>
    <w:rsid w:val="00E81797"/>
    <w:rsid w:val="00E8204B"/>
    <w:rsid w:val="00E846A7"/>
    <w:rsid w:val="00E86AF1"/>
    <w:rsid w:val="00E8794D"/>
    <w:rsid w:val="00E87B56"/>
    <w:rsid w:val="00E90693"/>
    <w:rsid w:val="00E92028"/>
    <w:rsid w:val="00E92443"/>
    <w:rsid w:val="00E93611"/>
    <w:rsid w:val="00E94D22"/>
    <w:rsid w:val="00E95B30"/>
    <w:rsid w:val="00E97A6C"/>
    <w:rsid w:val="00EA031F"/>
    <w:rsid w:val="00EA07B0"/>
    <w:rsid w:val="00EA1FF9"/>
    <w:rsid w:val="00EA3278"/>
    <w:rsid w:val="00EA3481"/>
    <w:rsid w:val="00EA6CA3"/>
    <w:rsid w:val="00EB02CA"/>
    <w:rsid w:val="00EB1622"/>
    <w:rsid w:val="00EB267D"/>
    <w:rsid w:val="00EB2EDF"/>
    <w:rsid w:val="00EB3B31"/>
    <w:rsid w:val="00EB3EDB"/>
    <w:rsid w:val="00EB4E27"/>
    <w:rsid w:val="00EB50C1"/>
    <w:rsid w:val="00EB63C4"/>
    <w:rsid w:val="00EB6794"/>
    <w:rsid w:val="00EB798B"/>
    <w:rsid w:val="00EC3047"/>
    <w:rsid w:val="00ED02D3"/>
    <w:rsid w:val="00ED1FC5"/>
    <w:rsid w:val="00ED33BC"/>
    <w:rsid w:val="00ED545D"/>
    <w:rsid w:val="00ED60F2"/>
    <w:rsid w:val="00EE1899"/>
    <w:rsid w:val="00EE571C"/>
    <w:rsid w:val="00EF2B3E"/>
    <w:rsid w:val="00EF3248"/>
    <w:rsid w:val="00EF5F1C"/>
    <w:rsid w:val="00EF78D0"/>
    <w:rsid w:val="00F01230"/>
    <w:rsid w:val="00F01DF9"/>
    <w:rsid w:val="00F12626"/>
    <w:rsid w:val="00F1371A"/>
    <w:rsid w:val="00F137F8"/>
    <w:rsid w:val="00F178F8"/>
    <w:rsid w:val="00F17B9F"/>
    <w:rsid w:val="00F21CD7"/>
    <w:rsid w:val="00F21F95"/>
    <w:rsid w:val="00F22D7C"/>
    <w:rsid w:val="00F22F95"/>
    <w:rsid w:val="00F33931"/>
    <w:rsid w:val="00F343C7"/>
    <w:rsid w:val="00F37DC6"/>
    <w:rsid w:val="00F40DE0"/>
    <w:rsid w:val="00F411D0"/>
    <w:rsid w:val="00F44257"/>
    <w:rsid w:val="00F44710"/>
    <w:rsid w:val="00F44FC3"/>
    <w:rsid w:val="00F45E13"/>
    <w:rsid w:val="00F45E50"/>
    <w:rsid w:val="00F46BD5"/>
    <w:rsid w:val="00F50B92"/>
    <w:rsid w:val="00F51D53"/>
    <w:rsid w:val="00F51DA1"/>
    <w:rsid w:val="00F51FC6"/>
    <w:rsid w:val="00F52051"/>
    <w:rsid w:val="00F53FC2"/>
    <w:rsid w:val="00F55402"/>
    <w:rsid w:val="00F55ABA"/>
    <w:rsid w:val="00F55C16"/>
    <w:rsid w:val="00F61557"/>
    <w:rsid w:val="00F62B10"/>
    <w:rsid w:val="00F650E3"/>
    <w:rsid w:val="00F704B3"/>
    <w:rsid w:val="00F7121D"/>
    <w:rsid w:val="00F72321"/>
    <w:rsid w:val="00F725DC"/>
    <w:rsid w:val="00F732FE"/>
    <w:rsid w:val="00F73AB6"/>
    <w:rsid w:val="00F7426B"/>
    <w:rsid w:val="00F748FD"/>
    <w:rsid w:val="00F77E78"/>
    <w:rsid w:val="00F81762"/>
    <w:rsid w:val="00F822B3"/>
    <w:rsid w:val="00F83801"/>
    <w:rsid w:val="00F84540"/>
    <w:rsid w:val="00F87E68"/>
    <w:rsid w:val="00F9068C"/>
    <w:rsid w:val="00F90C4B"/>
    <w:rsid w:val="00F92B0F"/>
    <w:rsid w:val="00F94B5C"/>
    <w:rsid w:val="00F95CC4"/>
    <w:rsid w:val="00FA0731"/>
    <w:rsid w:val="00FA09BE"/>
    <w:rsid w:val="00FA1118"/>
    <w:rsid w:val="00FA2068"/>
    <w:rsid w:val="00FA4B9F"/>
    <w:rsid w:val="00FA7362"/>
    <w:rsid w:val="00FA783E"/>
    <w:rsid w:val="00FB48C3"/>
    <w:rsid w:val="00FB673E"/>
    <w:rsid w:val="00FC3617"/>
    <w:rsid w:val="00FC3AB2"/>
    <w:rsid w:val="00FC7537"/>
    <w:rsid w:val="00FC7A03"/>
    <w:rsid w:val="00FD547C"/>
    <w:rsid w:val="00FD7F56"/>
    <w:rsid w:val="00FE0AC5"/>
    <w:rsid w:val="00FE469B"/>
    <w:rsid w:val="00FE56D5"/>
    <w:rsid w:val="00FE59FA"/>
    <w:rsid w:val="00FE6934"/>
    <w:rsid w:val="00FE6EF7"/>
    <w:rsid w:val="00FF167C"/>
    <w:rsid w:val="00FF2AC3"/>
    <w:rsid w:val="00FF2D6B"/>
    <w:rsid w:val="00FF31FC"/>
    <w:rsid w:val="00FF4995"/>
    <w:rsid w:val="00FF4C14"/>
    <w:rsid w:val="00FF72D6"/>
    <w:rsid w:val="3D5BA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8472D"/>
  <w15:chartTrackingRefBased/>
  <w15:docId w15:val="{408A5F6B-D4DB-4948-94DD-F691F1AB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YPF-Normal"/>
    <w:qFormat/>
    <w:rsid w:val="006C09ED"/>
    <w:pPr>
      <w:jc w:val="both"/>
    </w:pPr>
    <w:rPr>
      <w:rFonts w:asciiTheme="minorHAnsi" w:hAnsiTheme="minorHAnsi"/>
      <w:sz w:val="22"/>
      <w:szCs w:val="24"/>
      <w:lang w:eastAsia="en-US"/>
    </w:rPr>
  </w:style>
  <w:style w:type="paragraph" w:styleId="Heading1">
    <w:name w:val="heading 1"/>
    <w:basedOn w:val="Normal"/>
    <w:next w:val="Normal"/>
    <w:link w:val="Heading1Char"/>
    <w:autoRedefine/>
    <w:qFormat/>
    <w:rsid w:val="00EB4E27"/>
    <w:pPr>
      <w:keepNext/>
      <w:spacing w:before="240" w:after="60"/>
      <w:ind w:left="142" w:hanging="568"/>
      <w:outlineLvl w:val="0"/>
    </w:pPr>
    <w:rPr>
      <w:rFonts w:asciiTheme="majorHAnsi" w:hAnsiTheme="majorHAnsi" w:cs="Arial"/>
      <w:b/>
      <w:bCs/>
      <w:color w:val="40A927"/>
      <w:kern w:val="32"/>
      <w:sz w:val="24"/>
      <w:szCs w:val="32"/>
    </w:rPr>
  </w:style>
  <w:style w:type="paragraph" w:styleId="Heading2">
    <w:name w:val="heading 2"/>
    <w:basedOn w:val="Heading1"/>
    <w:next w:val="Normal"/>
    <w:link w:val="Heading2Char"/>
    <w:autoRedefine/>
    <w:qFormat/>
    <w:rsid w:val="006C09ED"/>
    <w:pPr>
      <w:numPr>
        <w:ilvl w:val="1"/>
        <w:numId w:val="32"/>
      </w:numPr>
      <w:outlineLvl w:val="1"/>
    </w:pPr>
    <w:rPr>
      <w:bCs w:val="0"/>
      <w:color w:val="99CB38"/>
      <w:szCs w:val="20"/>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2">
    <w:name w:val="Body Text Indent 2"/>
    <w:basedOn w:val="Normal"/>
    <w:pPr>
      <w:ind w:left="720"/>
    </w:pPr>
  </w:style>
  <w:style w:type="paragraph" w:styleId="BodyTextIndent3">
    <w:name w:val="Body Text Indent 3"/>
    <w:basedOn w:val="Normal"/>
    <w:pPr>
      <w:ind w:left="720" w:hanging="720"/>
    </w:pPr>
  </w:style>
  <w:style w:type="paragraph" w:styleId="Title">
    <w:name w:val="Title"/>
    <w:basedOn w:val="Normal"/>
    <w:qFormat/>
    <w:pPr>
      <w:jc w:val="center"/>
    </w:pPr>
    <w:rPr>
      <w:b/>
    </w:rPr>
  </w:style>
  <w:style w:type="paragraph" w:customStyle="1" w:styleId="ODPMLevel1">
    <w:name w:val="ODPM Level 1"/>
    <w:basedOn w:val="Normal"/>
    <w:pPr>
      <w:tabs>
        <w:tab w:val="left" w:pos="-720"/>
      </w:tabs>
      <w:suppressAutoHyphens/>
      <w:spacing w:after="240"/>
    </w:pPr>
    <w:rPr>
      <w:rFonts w:ascii="Arial" w:hAnsi="Arial"/>
      <w:spacing w:val="-2"/>
      <w:sz w:val="24"/>
    </w:rPr>
  </w:style>
  <w:style w:type="paragraph" w:styleId="Header">
    <w:name w:val="header"/>
    <w:basedOn w:val="Normal"/>
    <w:link w:val="HeaderChar"/>
    <w:autoRedefine/>
    <w:rsid w:val="006C09ED"/>
    <w:pPr>
      <w:tabs>
        <w:tab w:val="center" w:pos="4320"/>
        <w:tab w:val="right" w:pos="8640"/>
      </w:tabs>
      <w:jc w:val="center"/>
    </w:pPr>
    <w:rPr>
      <w:b/>
      <w:sz w:val="60"/>
    </w:rPr>
  </w:style>
  <w:style w:type="paragraph" w:styleId="BodyText">
    <w:name w:val="Body Text"/>
    <w:basedOn w:val="Normal"/>
    <w:link w:val="BodyTextChar"/>
    <w:pPr>
      <w:tabs>
        <w:tab w:val="num" w:pos="1125"/>
      </w:tabs>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rPr>
      <w:sz w:val="24"/>
    </w:rPr>
  </w:style>
  <w:style w:type="table" w:styleId="TableGrid">
    <w:name w:val="Table Grid"/>
    <w:basedOn w:val="TableNormal"/>
    <w:rsid w:val="001A1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25C7"/>
    <w:pPr>
      <w:autoSpaceDE w:val="0"/>
      <w:autoSpaceDN w:val="0"/>
      <w:adjustRightInd w:val="0"/>
    </w:pPr>
    <w:rPr>
      <w:rFonts w:ascii="Arial" w:hAnsi="Arial" w:cs="Arial"/>
      <w:color w:val="000000"/>
      <w:sz w:val="24"/>
      <w:szCs w:val="24"/>
    </w:rPr>
  </w:style>
  <w:style w:type="character" w:styleId="FollowedHyperlink">
    <w:name w:val="FollowedHyperlink"/>
    <w:rsid w:val="00C8341B"/>
    <w:rPr>
      <w:color w:val="800080"/>
      <w:u w:val="single"/>
    </w:rPr>
  </w:style>
  <w:style w:type="paragraph" w:styleId="ListParagraph">
    <w:name w:val="List Paragraph"/>
    <w:basedOn w:val="Normal"/>
    <w:uiPriority w:val="34"/>
    <w:qFormat/>
    <w:rsid w:val="003A26D6"/>
    <w:pPr>
      <w:ind w:left="720"/>
    </w:pPr>
  </w:style>
  <w:style w:type="character" w:customStyle="1" w:styleId="h61">
    <w:name w:val="h61"/>
    <w:rsid w:val="00521EA9"/>
    <w:rPr>
      <w:b/>
      <w:bCs/>
      <w:color w:val="336699"/>
    </w:rPr>
  </w:style>
  <w:style w:type="character" w:styleId="CommentReference">
    <w:name w:val="annotation reference"/>
    <w:rsid w:val="00A732F4"/>
    <w:rPr>
      <w:sz w:val="16"/>
      <w:szCs w:val="16"/>
    </w:rPr>
  </w:style>
  <w:style w:type="paragraph" w:styleId="CommentText">
    <w:name w:val="annotation text"/>
    <w:basedOn w:val="Normal"/>
    <w:link w:val="CommentTextChar"/>
    <w:rsid w:val="00A732F4"/>
  </w:style>
  <w:style w:type="character" w:customStyle="1" w:styleId="CommentTextChar">
    <w:name w:val="Comment Text Char"/>
    <w:basedOn w:val="DefaultParagraphFont"/>
    <w:link w:val="CommentText"/>
    <w:rsid w:val="00A732F4"/>
  </w:style>
  <w:style w:type="paragraph" w:styleId="CommentSubject">
    <w:name w:val="annotation subject"/>
    <w:basedOn w:val="CommentText"/>
    <w:next w:val="CommentText"/>
    <w:link w:val="CommentSubjectChar"/>
    <w:rsid w:val="00A732F4"/>
    <w:rPr>
      <w:b/>
      <w:bCs/>
    </w:rPr>
  </w:style>
  <w:style w:type="character" w:customStyle="1" w:styleId="CommentSubjectChar">
    <w:name w:val="Comment Subject Char"/>
    <w:link w:val="CommentSubject"/>
    <w:rsid w:val="00A732F4"/>
    <w:rPr>
      <w:b/>
      <w:bCs/>
    </w:rPr>
  </w:style>
  <w:style w:type="paragraph" w:customStyle="1" w:styleId="BodyTextGrey">
    <w:name w:val="Body Text Grey"/>
    <w:basedOn w:val="BodyText"/>
    <w:link w:val="BodyTextGreyChar"/>
    <w:qFormat/>
    <w:rsid w:val="00C4305F"/>
    <w:pPr>
      <w:tabs>
        <w:tab w:val="clear" w:pos="1125"/>
      </w:tabs>
      <w:spacing w:before="20" w:after="200" w:line="280" w:lineRule="atLeast"/>
    </w:pPr>
    <w:rPr>
      <w:rFonts w:ascii="Arial" w:hAnsi="Arial" w:cs="Arial"/>
      <w:i w:val="0"/>
      <w:iCs/>
      <w:color w:val="455560"/>
    </w:rPr>
  </w:style>
  <w:style w:type="character" w:customStyle="1" w:styleId="BodyTextGreyChar">
    <w:name w:val="Body Text Grey Char"/>
    <w:link w:val="BodyTextGrey"/>
    <w:rsid w:val="00C4305F"/>
    <w:rPr>
      <w:rFonts w:ascii="Arial" w:hAnsi="Arial" w:cs="Arial"/>
      <w:iCs/>
      <w:color w:val="455560"/>
      <w:lang w:eastAsia="en-US"/>
    </w:rPr>
  </w:style>
  <w:style w:type="character" w:customStyle="1" w:styleId="BodyTextChar">
    <w:name w:val="Body Text Char"/>
    <w:link w:val="BodyText"/>
    <w:rsid w:val="00E31DF0"/>
    <w:rPr>
      <w:i/>
    </w:rPr>
  </w:style>
  <w:style w:type="character" w:customStyle="1" w:styleId="HeaderChar">
    <w:name w:val="Header Char"/>
    <w:basedOn w:val="DefaultParagraphFont"/>
    <w:link w:val="Header"/>
    <w:rsid w:val="006C09ED"/>
    <w:rPr>
      <w:rFonts w:asciiTheme="minorHAnsi" w:hAnsiTheme="minorHAnsi"/>
      <w:b/>
      <w:sz w:val="60"/>
      <w:szCs w:val="24"/>
      <w:lang w:eastAsia="en-US"/>
    </w:rPr>
  </w:style>
  <w:style w:type="character" w:customStyle="1" w:styleId="Heading1Char">
    <w:name w:val="Heading 1 Char"/>
    <w:basedOn w:val="DefaultParagraphFont"/>
    <w:link w:val="Heading1"/>
    <w:rsid w:val="0098411D"/>
    <w:rPr>
      <w:rFonts w:asciiTheme="majorHAnsi" w:hAnsiTheme="majorHAnsi" w:cs="Arial"/>
      <w:b/>
      <w:bCs/>
      <w:color w:val="40A927"/>
      <w:kern w:val="32"/>
      <w:sz w:val="24"/>
      <w:szCs w:val="32"/>
      <w:lang w:eastAsia="en-US"/>
    </w:rPr>
  </w:style>
  <w:style w:type="character" w:customStyle="1" w:styleId="Heading2Char">
    <w:name w:val="Heading 2 Char"/>
    <w:basedOn w:val="DefaultParagraphFont"/>
    <w:link w:val="Heading2"/>
    <w:rsid w:val="006C09ED"/>
    <w:rPr>
      <w:rFonts w:asciiTheme="majorHAnsi" w:hAnsiTheme="majorHAnsi" w:cs="Arial"/>
      <w:b/>
      <w:color w:val="99CB38"/>
      <w:kern w:val="32"/>
      <w:sz w:val="24"/>
      <w:lang w:eastAsia="en-US"/>
    </w:rPr>
  </w:style>
  <w:style w:type="paragraph" w:styleId="TOCHeading">
    <w:name w:val="TOC Heading"/>
    <w:basedOn w:val="Heading1"/>
    <w:next w:val="Normal"/>
    <w:uiPriority w:val="39"/>
    <w:unhideWhenUsed/>
    <w:qFormat/>
    <w:rsid w:val="008B65C7"/>
    <w:pPr>
      <w:keepLines/>
      <w:spacing w:after="0" w:line="259" w:lineRule="auto"/>
      <w:ind w:firstLine="0"/>
      <w:jc w:val="left"/>
      <w:outlineLvl w:val="9"/>
    </w:pPr>
    <w:rPr>
      <w:rFonts w:eastAsiaTheme="majorEastAsia" w:cstheme="majorBidi"/>
      <w:b w:val="0"/>
      <w:bCs w:val="0"/>
      <w:color w:val="2E74B5" w:themeColor="accent1" w:themeShade="BF"/>
      <w:kern w:val="0"/>
      <w:sz w:val="32"/>
      <w:lang w:val="en-US"/>
    </w:rPr>
  </w:style>
  <w:style w:type="paragraph" w:styleId="TOC1">
    <w:name w:val="toc 1"/>
    <w:basedOn w:val="Normal"/>
    <w:next w:val="Normal"/>
    <w:autoRedefine/>
    <w:uiPriority w:val="39"/>
    <w:rsid w:val="001967F4"/>
    <w:pPr>
      <w:tabs>
        <w:tab w:val="left" w:pos="660"/>
        <w:tab w:val="right" w:leader="dot" w:pos="9017"/>
      </w:tabs>
      <w:spacing w:after="100"/>
    </w:pPr>
  </w:style>
  <w:style w:type="paragraph" w:styleId="TOC2">
    <w:name w:val="toc 2"/>
    <w:basedOn w:val="Normal"/>
    <w:next w:val="Normal"/>
    <w:autoRedefine/>
    <w:uiPriority w:val="39"/>
    <w:unhideWhenUsed/>
    <w:rsid w:val="00490974"/>
    <w:pPr>
      <w:spacing w:after="100" w:line="259" w:lineRule="auto"/>
      <w:ind w:left="220"/>
      <w:jc w:val="left"/>
    </w:pPr>
    <w:rPr>
      <w:rFonts w:eastAsiaTheme="minorEastAsia"/>
      <w:szCs w:val="22"/>
      <w:lang w:eastAsia="en-GB"/>
    </w:rPr>
  </w:style>
  <w:style w:type="paragraph" w:styleId="TOC3">
    <w:name w:val="toc 3"/>
    <w:basedOn w:val="Normal"/>
    <w:next w:val="Normal"/>
    <w:autoRedefine/>
    <w:uiPriority w:val="39"/>
    <w:unhideWhenUsed/>
    <w:rsid w:val="00490974"/>
    <w:pPr>
      <w:spacing w:after="100" w:line="259" w:lineRule="auto"/>
      <w:ind w:left="440"/>
      <w:jc w:val="left"/>
    </w:pPr>
    <w:rPr>
      <w:rFonts w:eastAsiaTheme="minorEastAsia"/>
      <w:szCs w:val="22"/>
      <w:lang w:eastAsia="en-GB"/>
    </w:rPr>
  </w:style>
  <w:style w:type="paragraph" w:styleId="Revision">
    <w:name w:val="Revision"/>
    <w:hidden/>
    <w:uiPriority w:val="99"/>
    <w:semiHidden/>
    <w:rsid w:val="00853A8D"/>
    <w:rPr>
      <w:rFonts w:asciiTheme="minorHAnsi" w:hAnsiTheme="minorHAnsi"/>
      <w:sz w:val="22"/>
      <w:szCs w:val="24"/>
      <w:lang w:eastAsia="en-US"/>
    </w:rPr>
  </w:style>
  <w:style w:type="character" w:styleId="UnresolvedMention">
    <w:name w:val="Unresolved Mention"/>
    <w:basedOn w:val="DefaultParagraphFont"/>
    <w:uiPriority w:val="99"/>
    <w:semiHidden/>
    <w:unhideWhenUsed/>
    <w:rsid w:val="00B65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31010">
      <w:bodyDiv w:val="1"/>
      <w:marLeft w:val="0"/>
      <w:marRight w:val="0"/>
      <w:marTop w:val="0"/>
      <w:marBottom w:val="0"/>
      <w:divBdr>
        <w:top w:val="none" w:sz="0" w:space="0" w:color="auto"/>
        <w:left w:val="none" w:sz="0" w:space="0" w:color="auto"/>
        <w:bottom w:val="none" w:sz="0" w:space="0" w:color="auto"/>
        <w:right w:val="none" w:sz="0" w:space="0" w:color="auto"/>
      </w:divBdr>
      <w:divsChild>
        <w:div w:id="1201822630">
          <w:marLeft w:val="0"/>
          <w:marRight w:val="0"/>
          <w:marTop w:val="0"/>
          <w:marBottom w:val="0"/>
          <w:divBdr>
            <w:top w:val="none" w:sz="0" w:space="0" w:color="auto"/>
            <w:left w:val="none" w:sz="0" w:space="0" w:color="auto"/>
            <w:bottom w:val="none" w:sz="0" w:space="0" w:color="auto"/>
            <w:right w:val="none" w:sz="0" w:space="0" w:color="auto"/>
          </w:divBdr>
          <w:divsChild>
            <w:div w:id="2078936454">
              <w:marLeft w:val="0"/>
              <w:marRight w:val="0"/>
              <w:marTop w:val="0"/>
              <w:marBottom w:val="0"/>
              <w:divBdr>
                <w:top w:val="none" w:sz="0" w:space="0" w:color="auto"/>
                <w:left w:val="none" w:sz="0" w:space="0" w:color="auto"/>
                <w:bottom w:val="none" w:sz="0" w:space="0" w:color="auto"/>
                <w:right w:val="none" w:sz="0" w:space="0" w:color="auto"/>
              </w:divBdr>
              <w:divsChild>
                <w:div w:id="1033461550">
                  <w:marLeft w:val="0"/>
                  <w:marRight w:val="0"/>
                  <w:marTop w:val="0"/>
                  <w:marBottom w:val="0"/>
                  <w:divBdr>
                    <w:top w:val="none" w:sz="0" w:space="0" w:color="auto"/>
                    <w:left w:val="none" w:sz="0" w:space="0" w:color="auto"/>
                    <w:bottom w:val="none" w:sz="0" w:space="0" w:color="auto"/>
                    <w:right w:val="none" w:sz="0" w:space="0" w:color="auto"/>
                  </w:divBdr>
                  <w:divsChild>
                    <w:div w:id="115173825">
                      <w:marLeft w:val="0"/>
                      <w:marRight w:val="0"/>
                      <w:marTop w:val="0"/>
                      <w:marBottom w:val="0"/>
                      <w:divBdr>
                        <w:top w:val="none" w:sz="0" w:space="0" w:color="auto"/>
                        <w:left w:val="none" w:sz="0" w:space="0" w:color="auto"/>
                        <w:bottom w:val="none" w:sz="0" w:space="0" w:color="auto"/>
                        <w:right w:val="none" w:sz="0" w:space="0" w:color="auto"/>
                      </w:divBdr>
                      <w:divsChild>
                        <w:div w:id="1633513303">
                          <w:marLeft w:val="0"/>
                          <w:marRight w:val="0"/>
                          <w:marTop w:val="0"/>
                          <w:marBottom w:val="0"/>
                          <w:divBdr>
                            <w:top w:val="none" w:sz="0" w:space="0" w:color="auto"/>
                            <w:left w:val="none" w:sz="0" w:space="0" w:color="auto"/>
                            <w:bottom w:val="none" w:sz="0" w:space="0" w:color="auto"/>
                            <w:right w:val="none" w:sz="0" w:space="0" w:color="auto"/>
                          </w:divBdr>
                          <w:divsChild>
                            <w:div w:id="1992176893">
                              <w:marLeft w:val="0"/>
                              <w:marRight w:val="0"/>
                              <w:marTop w:val="0"/>
                              <w:marBottom w:val="0"/>
                              <w:divBdr>
                                <w:top w:val="none" w:sz="0" w:space="0" w:color="auto"/>
                                <w:left w:val="none" w:sz="0" w:space="0" w:color="auto"/>
                                <w:bottom w:val="none" w:sz="0" w:space="0" w:color="auto"/>
                                <w:right w:val="none" w:sz="0" w:space="0" w:color="auto"/>
                              </w:divBdr>
                              <w:divsChild>
                                <w:div w:id="1722748572">
                                  <w:marLeft w:val="0"/>
                                  <w:marRight w:val="0"/>
                                  <w:marTop w:val="0"/>
                                  <w:marBottom w:val="0"/>
                                  <w:divBdr>
                                    <w:top w:val="none" w:sz="0" w:space="0" w:color="auto"/>
                                    <w:left w:val="none" w:sz="0" w:space="0" w:color="auto"/>
                                    <w:bottom w:val="none" w:sz="0" w:space="0" w:color="auto"/>
                                    <w:right w:val="none" w:sz="0" w:space="0" w:color="auto"/>
                                  </w:divBdr>
                                  <w:divsChild>
                                    <w:div w:id="1774126303">
                                      <w:marLeft w:val="0"/>
                                      <w:marRight w:val="0"/>
                                      <w:marTop w:val="0"/>
                                      <w:marBottom w:val="0"/>
                                      <w:divBdr>
                                        <w:top w:val="none" w:sz="0" w:space="0" w:color="auto"/>
                                        <w:left w:val="none" w:sz="0" w:space="0" w:color="auto"/>
                                        <w:bottom w:val="none" w:sz="0" w:space="0" w:color="auto"/>
                                        <w:right w:val="none" w:sz="0" w:space="0" w:color="auto"/>
                                      </w:divBdr>
                                      <w:divsChild>
                                        <w:div w:id="1427922540">
                                          <w:marLeft w:val="3"/>
                                          <w:marRight w:val="3"/>
                                          <w:marTop w:val="0"/>
                                          <w:marBottom w:val="480"/>
                                          <w:divBdr>
                                            <w:top w:val="none" w:sz="0" w:space="0" w:color="auto"/>
                                            <w:left w:val="none" w:sz="0" w:space="0" w:color="auto"/>
                                            <w:bottom w:val="none" w:sz="0" w:space="0" w:color="auto"/>
                                            <w:right w:val="none" w:sz="0" w:space="0" w:color="auto"/>
                                          </w:divBdr>
                                          <w:divsChild>
                                            <w:div w:id="2077121848">
                                              <w:marLeft w:val="2"/>
                                              <w:marRight w:val="2"/>
                                              <w:marTop w:val="96"/>
                                              <w:marBottom w:val="2"/>
                                              <w:divBdr>
                                                <w:top w:val="none" w:sz="0" w:space="0" w:color="auto"/>
                                                <w:left w:val="single" w:sz="24" w:space="31" w:color="357857"/>
                                                <w:bottom w:val="none" w:sz="0" w:space="0" w:color="auto"/>
                                                <w:right w:val="single" w:sz="24" w:space="31" w:color="357857"/>
                                              </w:divBdr>
                                              <w:divsChild>
                                                <w:div w:id="1276598932">
                                                  <w:marLeft w:val="2"/>
                                                  <w:marRight w:val="2"/>
                                                  <w:marTop w:val="0"/>
                                                  <w:marBottom w:val="0"/>
                                                  <w:divBdr>
                                                    <w:top w:val="none" w:sz="0" w:space="0" w:color="auto"/>
                                                    <w:left w:val="none" w:sz="0" w:space="0" w:color="auto"/>
                                                    <w:bottom w:val="none" w:sz="0" w:space="0" w:color="auto"/>
                                                    <w:right w:val="none" w:sz="0" w:space="0" w:color="auto"/>
                                                  </w:divBdr>
                                                  <w:divsChild>
                                                    <w:div w:id="1827941931">
                                                      <w:marLeft w:val="0"/>
                                                      <w:marRight w:val="0"/>
                                                      <w:marTop w:val="0"/>
                                                      <w:marBottom w:val="0"/>
                                                      <w:divBdr>
                                                        <w:top w:val="none" w:sz="0" w:space="0" w:color="auto"/>
                                                        <w:left w:val="none" w:sz="0" w:space="0" w:color="auto"/>
                                                        <w:bottom w:val="none" w:sz="0" w:space="0" w:color="auto"/>
                                                        <w:right w:val="none" w:sz="0" w:space="0" w:color="auto"/>
                                                      </w:divBdr>
                                                      <w:divsChild>
                                                        <w:div w:id="161968142">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2385064">
      <w:bodyDiv w:val="1"/>
      <w:marLeft w:val="0"/>
      <w:marRight w:val="0"/>
      <w:marTop w:val="0"/>
      <w:marBottom w:val="0"/>
      <w:divBdr>
        <w:top w:val="none" w:sz="0" w:space="0" w:color="auto"/>
        <w:left w:val="none" w:sz="0" w:space="0" w:color="auto"/>
        <w:bottom w:val="none" w:sz="0" w:space="0" w:color="auto"/>
        <w:right w:val="none" w:sz="0" w:space="0" w:color="auto"/>
      </w:divBdr>
      <w:divsChild>
        <w:div w:id="1225871754">
          <w:marLeft w:val="0"/>
          <w:marRight w:val="0"/>
          <w:marTop w:val="0"/>
          <w:marBottom w:val="0"/>
          <w:divBdr>
            <w:top w:val="none" w:sz="0" w:space="0" w:color="auto"/>
            <w:left w:val="none" w:sz="0" w:space="0" w:color="auto"/>
            <w:bottom w:val="none" w:sz="0" w:space="0" w:color="auto"/>
            <w:right w:val="none" w:sz="0" w:space="0" w:color="auto"/>
          </w:divBdr>
          <w:divsChild>
            <w:div w:id="390739043">
              <w:marLeft w:val="0"/>
              <w:marRight w:val="0"/>
              <w:marTop w:val="0"/>
              <w:marBottom w:val="0"/>
              <w:divBdr>
                <w:top w:val="none" w:sz="0" w:space="0" w:color="auto"/>
                <w:left w:val="none" w:sz="0" w:space="0" w:color="auto"/>
                <w:bottom w:val="none" w:sz="0" w:space="0" w:color="auto"/>
                <w:right w:val="none" w:sz="0" w:space="0" w:color="auto"/>
              </w:divBdr>
              <w:divsChild>
                <w:div w:id="2011978462">
                  <w:marLeft w:val="0"/>
                  <w:marRight w:val="0"/>
                  <w:marTop w:val="0"/>
                  <w:marBottom w:val="0"/>
                  <w:divBdr>
                    <w:top w:val="none" w:sz="0" w:space="0" w:color="auto"/>
                    <w:left w:val="none" w:sz="0" w:space="0" w:color="auto"/>
                    <w:bottom w:val="none" w:sz="0" w:space="0" w:color="auto"/>
                    <w:right w:val="none" w:sz="0" w:space="0" w:color="auto"/>
                  </w:divBdr>
                  <w:divsChild>
                    <w:div w:id="1249264261">
                      <w:marLeft w:val="0"/>
                      <w:marRight w:val="0"/>
                      <w:marTop w:val="0"/>
                      <w:marBottom w:val="0"/>
                      <w:divBdr>
                        <w:top w:val="none" w:sz="0" w:space="0" w:color="auto"/>
                        <w:left w:val="none" w:sz="0" w:space="0" w:color="auto"/>
                        <w:bottom w:val="none" w:sz="0" w:space="0" w:color="auto"/>
                        <w:right w:val="none" w:sz="0" w:space="0" w:color="auto"/>
                      </w:divBdr>
                      <w:divsChild>
                        <w:div w:id="852912267">
                          <w:marLeft w:val="0"/>
                          <w:marRight w:val="0"/>
                          <w:marTop w:val="0"/>
                          <w:marBottom w:val="0"/>
                          <w:divBdr>
                            <w:top w:val="none" w:sz="0" w:space="0" w:color="auto"/>
                            <w:left w:val="none" w:sz="0" w:space="0" w:color="auto"/>
                            <w:bottom w:val="none" w:sz="0" w:space="0" w:color="auto"/>
                            <w:right w:val="none" w:sz="0" w:space="0" w:color="auto"/>
                          </w:divBdr>
                          <w:divsChild>
                            <w:div w:id="2135784458">
                              <w:marLeft w:val="0"/>
                              <w:marRight w:val="0"/>
                              <w:marTop w:val="0"/>
                              <w:marBottom w:val="0"/>
                              <w:divBdr>
                                <w:top w:val="none" w:sz="0" w:space="0" w:color="auto"/>
                                <w:left w:val="none" w:sz="0" w:space="0" w:color="auto"/>
                                <w:bottom w:val="none" w:sz="0" w:space="0" w:color="auto"/>
                                <w:right w:val="none" w:sz="0" w:space="0" w:color="auto"/>
                              </w:divBdr>
                              <w:divsChild>
                                <w:div w:id="131408148">
                                  <w:marLeft w:val="0"/>
                                  <w:marRight w:val="0"/>
                                  <w:marTop w:val="0"/>
                                  <w:marBottom w:val="0"/>
                                  <w:divBdr>
                                    <w:top w:val="none" w:sz="0" w:space="0" w:color="auto"/>
                                    <w:left w:val="none" w:sz="0" w:space="0" w:color="auto"/>
                                    <w:bottom w:val="none" w:sz="0" w:space="0" w:color="auto"/>
                                    <w:right w:val="none" w:sz="0" w:space="0" w:color="auto"/>
                                  </w:divBdr>
                                  <w:divsChild>
                                    <w:div w:id="1162815521">
                                      <w:marLeft w:val="0"/>
                                      <w:marRight w:val="0"/>
                                      <w:marTop w:val="0"/>
                                      <w:marBottom w:val="0"/>
                                      <w:divBdr>
                                        <w:top w:val="none" w:sz="0" w:space="0" w:color="auto"/>
                                        <w:left w:val="none" w:sz="0" w:space="0" w:color="auto"/>
                                        <w:bottom w:val="none" w:sz="0" w:space="0" w:color="auto"/>
                                        <w:right w:val="none" w:sz="0" w:space="0" w:color="auto"/>
                                      </w:divBdr>
                                      <w:divsChild>
                                        <w:div w:id="1088623549">
                                          <w:marLeft w:val="3"/>
                                          <w:marRight w:val="3"/>
                                          <w:marTop w:val="0"/>
                                          <w:marBottom w:val="480"/>
                                          <w:divBdr>
                                            <w:top w:val="none" w:sz="0" w:space="0" w:color="auto"/>
                                            <w:left w:val="none" w:sz="0" w:space="0" w:color="auto"/>
                                            <w:bottom w:val="none" w:sz="0" w:space="0" w:color="auto"/>
                                            <w:right w:val="none" w:sz="0" w:space="0" w:color="auto"/>
                                          </w:divBdr>
                                          <w:divsChild>
                                            <w:div w:id="646738960">
                                              <w:marLeft w:val="2"/>
                                              <w:marRight w:val="2"/>
                                              <w:marTop w:val="96"/>
                                              <w:marBottom w:val="2"/>
                                              <w:divBdr>
                                                <w:top w:val="none" w:sz="0" w:space="0" w:color="auto"/>
                                                <w:left w:val="single" w:sz="24" w:space="31" w:color="357857"/>
                                                <w:bottom w:val="none" w:sz="0" w:space="0" w:color="auto"/>
                                                <w:right w:val="single" w:sz="24" w:space="31" w:color="357857"/>
                                              </w:divBdr>
                                              <w:divsChild>
                                                <w:div w:id="174804832">
                                                  <w:marLeft w:val="2"/>
                                                  <w:marRight w:val="2"/>
                                                  <w:marTop w:val="0"/>
                                                  <w:marBottom w:val="0"/>
                                                  <w:divBdr>
                                                    <w:top w:val="none" w:sz="0" w:space="0" w:color="auto"/>
                                                    <w:left w:val="none" w:sz="0" w:space="0" w:color="auto"/>
                                                    <w:bottom w:val="none" w:sz="0" w:space="0" w:color="auto"/>
                                                    <w:right w:val="none" w:sz="0" w:space="0" w:color="auto"/>
                                                  </w:divBdr>
                                                  <w:divsChild>
                                                    <w:div w:id="1511019586">
                                                      <w:marLeft w:val="0"/>
                                                      <w:marRight w:val="0"/>
                                                      <w:marTop w:val="0"/>
                                                      <w:marBottom w:val="0"/>
                                                      <w:divBdr>
                                                        <w:top w:val="none" w:sz="0" w:space="0" w:color="auto"/>
                                                        <w:left w:val="none" w:sz="0" w:space="0" w:color="auto"/>
                                                        <w:bottom w:val="none" w:sz="0" w:space="0" w:color="auto"/>
                                                        <w:right w:val="none" w:sz="0" w:space="0" w:color="auto"/>
                                                      </w:divBdr>
                                                      <w:divsChild>
                                                        <w:div w:id="174729838">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9979713">
      <w:bodyDiv w:val="1"/>
      <w:marLeft w:val="0"/>
      <w:marRight w:val="0"/>
      <w:marTop w:val="0"/>
      <w:marBottom w:val="0"/>
      <w:divBdr>
        <w:top w:val="none" w:sz="0" w:space="0" w:color="auto"/>
        <w:left w:val="none" w:sz="0" w:space="0" w:color="auto"/>
        <w:bottom w:val="none" w:sz="0" w:space="0" w:color="auto"/>
        <w:right w:val="none" w:sz="0" w:space="0" w:color="auto"/>
      </w:divBdr>
      <w:divsChild>
        <w:div w:id="1204634567">
          <w:marLeft w:val="0"/>
          <w:marRight w:val="0"/>
          <w:marTop w:val="0"/>
          <w:marBottom w:val="0"/>
          <w:divBdr>
            <w:top w:val="none" w:sz="0" w:space="0" w:color="auto"/>
            <w:left w:val="none" w:sz="0" w:space="0" w:color="auto"/>
            <w:bottom w:val="none" w:sz="0" w:space="0" w:color="auto"/>
            <w:right w:val="none" w:sz="0" w:space="0" w:color="auto"/>
          </w:divBdr>
          <w:divsChild>
            <w:div w:id="329530451">
              <w:marLeft w:val="0"/>
              <w:marRight w:val="0"/>
              <w:marTop w:val="0"/>
              <w:marBottom w:val="0"/>
              <w:divBdr>
                <w:top w:val="none" w:sz="0" w:space="0" w:color="auto"/>
                <w:left w:val="none" w:sz="0" w:space="0" w:color="auto"/>
                <w:bottom w:val="none" w:sz="0" w:space="0" w:color="auto"/>
                <w:right w:val="none" w:sz="0" w:space="0" w:color="auto"/>
              </w:divBdr>
              <w:divsChild>
                <w:div w:id="1177888004">
                  <w:marLeft w:val="0"/>
                  <w:marRight w:val="0"/>
                  <w:marTop w:val="0"/>
                  <w:marBottom w:val="0"/>
                  <w:divBdr>
                    <w:top w:val="none" w:sz="0" w:space="0" w:color="auto"/>
                    <w:left w:val="none" w:sz="0" w:space="0" w:color="auto"/>
                    <w:bottom w:val="none" w:sz="0" w:space="0" w:color="auto"/>
                    <w:right w:val="none" w:sz="0" w:space="0" w:color="auto"/>
                  </w:divBdr>
                  <w:divsChild>
                    <w:div w:id="598367340">
                      <w:marLeft w:val="0"/>
                      <w:marRight w:val="0"/>
                      <w:marTop w:val="0"/>
                      <w:marBottom w:val="0"/>
                      <w:divBdr>
                        <w:top w:val="none" w:sz="0" w:space="0" w:color="auto"/>
                        <w:left w:val="none" w:sz="0" w:space="0" w:color="auto"/>
                        <w:bottom w:val="none" w:sz="0" w:space="0" w:color="auto"/>
                        <w:right w:val="none" w:sz="0" w:space="0" w:color="auto"/>
                      </w:divBdr>
                      <w:divsChild>
                        <w:div w:id="901990416">
                          <w:marLeft w:val="0"/>
                          <w:marRight w:val="0"/>
                          <w:marTop w:val="0"/>
                          <w:marBottom w:val="0"/>
                          <w:divBdr>
                            <w:top w:val="none" w:sz="0" w:space="0" w:color="auto"/>
                            <w:left w:val="none" w:sz="0" w:space="0" w:color="auto"/>
                            <w:bottom w:val="none" w:sz="0" w:space="0" w:color="auto"/>
                            <w:right w:val="none" w:sz="0" w:space="0" w:color="auto"/>
                          </w:divBdr>
                          <w:divsChild>
                            <w:div w:id="583800248">
                              <w:marLeft w:val="0"/>
                              <w:marRight w:val="0"/>
                              <w:marTop w:val="0"/>
                              <w:marBottom w:val="0"/>
                              <w:divBdr>
                                <w:top w:val="none" w:sz="0" w:space="0" w:color="auto"/>
                                <w:left w:val="none" w:sz="0" w:space="0" w:color="auto"/>
                                <w:bottom w:val="none" w:sz="0" w:space="0" w:color="auto"/>
                                <w:right w:val="none" w:sz="0" w:space="0" w:color="auto"/>
                              </w:divBdr>
                              <w:divsChild>
                                <w:div w:id="1195924944">
                                  <w:marLeft w:val="0"/>
                                  <w:marRight w:val="0"/>
                                  <w:marTop w:val="0"/>
                                  <w:marBottom w:val="0"/>
                                  <w:divBdr>
                                    <w:top w:val="none" w:sz="0" w:space="0" w:color="auto"/>
                                    <w:left w:val="none" w:sz="0" w:space="0" w:color="auto"/>
                                    <w:bottom w:val="none" w:sz="0" w:space="0" w:color="auto"/>
                                    <w:right w:val="none" w:sz="0" w:space="0" w:color="auto"/>
                                  </w:divBdr>
                                  <w:divsChild>
                                    <w:div w:id="898639426">
                                      <w:marLeft w:val="0"/>
                                      <w:marRight w:val="0"/>
                                      <w:marTop w:val="0"/>
                                      <w:marBottom w:val="0"/>
                                      <w:divBdr>
                                        <w:top w:val="none" w:sz="0" w:space="0" w:color="auto"/>
                                        <w:left w:val="none" w:sz="0" w:space="0" w:color="auto"/>
                                        <w:bottom w:val="none" w:sz="0" w:space="0" w:color="auto"/>
                                        <w:right w:val="none" w:sz="0" w:space="0" w:color="auto"/>
                                      </w:divBdr>
                                      <w:divsChild>
                                        <w:div w:id="1354380823">
                                          <w:marLeft w:val="3"/>
                                          <w:marRight w:val="3"/>
                                          <w:marTop w:val="0"/>
                                          <w:marBottom w:val="480"/>
                                          <w:divBdr>
                                            <w:top w:val="none" w:sz="0" w:space="0" w:color="auto"/>
                                            <w:left w:val="none" w:sz="0" w:space="0" w:color="auto"/>
                                            <w:bottom w:val="none" w:sz="0" w:space="0" w:color="auto"/>
                                            <w:right w:val="none" w:sz="0" w:space="0" w:color="auto"/>
                                          </w:divBdr>
                                          <w:divsChild>
                                            <w:div w:id="1053700905">
                                              <w:marLeft w:val="2"/>
                                              <w:marRight w:val="2"/>
                                              <w:marTop w:val="96"/>
                                              <w:marBottom w:val="2"/>
                                              <w:divBdr>
                                                <w:top w:val="none" w:sz="0" w:space="0" w:color="auto"/>
                                                <w:left w:val="single" w:sz="24" w:space="31" w:color="357857"/>
                                                <w:bottom w:val="none" w:sz="0" w:space="0" w:color="auto"/>
                                                <w:right w:val="single" w:sz="24" w:space="31" w:color="357857"/>
                                              </w:divBdr>
                                              <w:divsChild>
                                                <w:div w:id="1901482592">
                                                  <w:marLeft w:val="2"/>
                                                  <w:marRight w:val="2"/>
                                                  <w:marTop w:val="0"/>
                                                  <w:marBottom w:val="0"/>
                                                  <w:divBdr>
                                                    <w:top w:val="none" w:sz="0" w:space="0" w:color="auto"/>
                                                    <w:left w:val="none" w:sz="0" w:space="0" w:color="auto"/>
                                                    <w:bottom w:val="none" w:sz="0" w:space="0" w:color="auto"/>
                                                    <w:right w:val="none" w:sz="0" w:space="0" w:color="auto"/>
                                                  </w:divBdr>
                                                  <w:divsChild>
                                                    <w:div w:id="22636701">
                                                      <w:marLeft w:val="0"/>
                                                      <w:marRight w:val="0"/>
                                                      <w:marTop w:val="0"/>
                                                      <w:marBottom w:val="0"/>
                                                      <w:divBdr>
                                                        <w:top w:val="none" w:sz="0" w:space="0" w:color="auto"/>
                                                        <w:left w:val="none" w:sz="0" w:space="0" w:color="auto"/>
                                                        <w:bottom w:val="none" w:sz="0" w:space="0" w:color="auto"/>
                                                        <w:right w:val="none" w:sz="0" w:space="0" w:color="auto"/>
                                                      </w:divBdr>
                                                      <w:divsChild>
                                                        <w:div w:id="413938908">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7675907">
      <w:bodyDiv w:val="1"/>
      <w:marLeft w:val="0"/>
      <w:marRight w:val="0"/>
      <w:marTop w:val="0"/>
      <w:marBottom w:val="0"/>
      <w:divBdr>
        <w:top w:val="none" w:sz="0" w:space="0" w:color="auto"/>
        <w:left w:val="none" w:sz="0" w:space="0" w:color="auto"/>
        <w:bottom w:val="none" w:sz="0" w:space="0" w:color="auto"/>
        <w:right w:val="none" w:sz="0" w:space="0" w:color="auto"/>
      </w:divBdr>
      <w:divsChild>
        <w:div w:id="1292325786">
          <w:marLeft w:val="0"/>
          <w:marRight w:val="0"/>
          <w:marTop w:val="0"/>
          <w:marBottom w:val="0"/>
          <w:divBdr>
            <w:top w:val="none" w:sz="0" w:space="0" w:color="auto"/>
            <w:left w:val="none" w:sz="0" w:space="0" w:color="auto"/>
            <w:bottom w:val="none" w:sz="0" w:space="0" w:color="auto"/>
            <w:right w:val="none" w:sz="0" w:space="0" w:color="auto"/>
          </w:divBdr>
          <w:divsChild>
            <w:div w:id="570191898">
              <w:marLeft w:val="0"/>
              <w:marRight w:val="0"/>
              <w:marTop w:val="0"/>
              <w:marBottom w:val="0"/>
              <w:divBdr>
                <w:top w:val="none" w:sz="0" w:space="0" w:color="auto"/>
                <w:left w:val="none" w:sz="0" w:space="0" w:color="auto"/>
                <w:bottom w:val="none" w:sz="0" w:space="0" w:color="auto"/>
                <w:right w:val="none" w:sz="0" w:space="0" w:color="auto"/>
              </w:divBdr>
              <w:divsChild>
                <w:div w:id="1257791759">
                  <w:marLeft w:val="0"/>
                  <w:marRight w:val="0"/>
                  <w:marTop w:val="0"/>
                  <w:marBottom w:val="0"/>
                  <w:divBdr>
                    <w:top w:val="none" w:sz="0" w:space="0" w:color="auto"/>
                    <w:left w:val="none" w:sz="0" w:space="0" w:color="auto"/>
                    <w:bottom w:val="none" w:sz="0" w:space="0" w:color="auto"/>
                    <w:right w:val="none" w:sz="0" w:space="0" w:color="auto"/>
                  </w:divBdr>
                  <w:divsChild>
                    <w:div w:id="699403187">
                      <w:marLeft w:val="0"/>
                      <w:marRight w:val="0"/>
                      <w:marTop w:val="0"/>
                      <w:marBottom w:val="0"/>
                      <w:divBdr>
                        <w:top w:val="none" w:sz="0" w:space="0" w:color="auto"/>
                        <w:left w:val="none" w:sz="0" w:space="0" w:color="auto"/>
                        <w:bottom w:val="none" w:sz="0" w:space="0" w:color="auto"/>
                        <w:right w:val="none" w:sz="0" w:space="0" w:color="auto"/>
                      </w:divBdr>
                      <w:divsChild>
                        <w:div w:id="1167936578">
                          <w:marLeft w:val="0"/>
                          <w:marRight w:val="0"/>
                          <w:marTop w:val="0"/>
                          <w:marBottom w:val="0"/>
                          <w:divBdr>
                            <w:top w:val="none" w:sz="0" w:space="0" w:color="auto"/>
                            <w:left w:val="none" w:sz="0" w:space="0" w:color="auto"/>
                            <w:bottom w:val="none" w:sz="0" w:space="0" w:color="auto"/>
                            <w:right w:val="none" w:sz="0" w:space="0" w:color="auto"/>
                          </w:divBdr>
                          <w:divsChild>
                            <w:div w:id="1342010741">
                              <w:marLeft w:val="0"/>
                              <w:marRight w:val="0"/>
                              <w:marTop w:val="0"/>
                              <w:marBottom w:val="0"/>
                              <w:divBdr>
                                <w:top w:val="none" w:sz="0" w:space="0" w:color="auto"/>
                                <w:left w:val="none" w:sz="0" w:space="0" w:color="auto"/>
                                <w:bottom w:val="none" w:sz="0" w:space="0" w:color="auto"/>
                                <w:right w:val="none" w:sz="0" w:space="0" w:color="auto"/>
                              </w:divBdr>
                              <w:divsChild>
                                <w:div w:id="1143884313">
                                  <w:marLeft w:val="0"/>
                                  <w:marRight w:val="0"/>
                                  <w:marTop w:val="0"/>
                                  <w:marBottom w:val="0"/>
                                  <w:divBdr>
                                    <w:top w:val="none" w:sz="0" w:space="0" w:color="auto"/>
                                    <w:left w:val="none" w:sz="0" w:space="0" w:color="auto"/>
                                    <w:bottom w:val="none" w:sz="0" w:space="0" w:color="auto"/>
                                    <w:right w:val="none" w:sz="0" w:space="0" w:color="auto"/>
                                  </w:divBdr>
                                  <w:divsChild>
                                    <w:div w:id="1831946327">
                                      <w:marLeft w:val="0"/>
                                      <w:marRight w:val="0"/>
                                      <w:marTop w:val="0"/>
                                      <w:marBottom w:val="0"/>
                                      <w:divBdr>
                                        <w:top w:val="none" w:sz="0" w:space="0" w:color="auto"/>
                                        <w:left w:val="none" w:sz="0" w:space="0" w:color="auto"/>
                                        <w:bottom w:val="none" w:sz="0" w:space="0" w:color="auto"/>
                                        <w:right w:val="none" w:sz="0" w:space="0" w:color="auto"/>
                                      </w:divBdr>
                                      <w:divsChild>
                                        <w:div w:id="1802185010">
                                          <w:marLeft w:val="3"/>
                                          <w:marRight w:val="3"/>
                                          <w:marTop w:val="0"/>
                                          <w:marBottom w:val="480"/>
                                          <w:divBdr>
                                            <w:top w:val="none" w:sz="0" w:space="0" w:color="auto"/>
                                            <w:left w:val="none" w:sz="0" w:space="0" w:color="auto"/>
                                            <w:bottom w:val="none" w:sz="0" w:space="0" w:color="auto"/>
                                            <w:right w:val="none" w:sz="0" w:space="0" w:color="auto"/>
                                          </w:divBdr>
                                          <w:divsChild>
                                            <w:div w:id="830372725">
                                              <w:marLeft w:val="2"/>
                                              <w:marRight w:val="2"/>
                                              <w:marTop w:val="96"/>
                                              <w:marBottom w:val="2"/>
                                              <w:divBdr>
                                                <w:top w:val="none" w:sz="0" w:space="0" w:color="auto"/>
                                                <w:left w:val="single" w:sz="24" w:space="31" w:color="357857"/>
                                                <w:bottom w:val="none" w:sz="0" w:space="0" w:color="auto"/>
                                                <w:right w:val="single" w:sz="24" w:space="31" w:color="357857"/>
                                              </w:divBdr>
                                              <w:divsChild>
                                                <w:div w:id="267391652">
                                                  <w:marLeft w:val="2"/>
                                                  <w:marRight w:val="2"/>
                                                  <w:marTop w:val="0"/>
                                                  <w:marBottom w:val="0"/>
                                                  <w:divBdr>
                                                    <w:top w:val="none" w:sz="0" w:space="0" w:color="auto"/>
                                                    <w:left w:val="none" w:sz="0" w:space="0" w:color="auto"/>
                                                    <w:bottom w:val="none" w:sz="0" w:space="0" w:color="auto"/>
                                                    <w:right w:val="none" w:sz="0" w:space="0" w:color="auto"/>
                                                  </w:divBdr>
                                                  <w:divsChild>
                                                    <w:div w:id="1470056623">
                                                      <w:marLeft w:val="0"/>
                                                      <w:marRight w:val="0"/>
                                                      <w:marTop w:val="0"/>
                                                      <w:marBottom w:val="0"/>
                                                      <w:divBdr>
                                                        <w:top w:val="none" w:sz="0" w:space="0" w:color="auto"/>
                                                        <w:left w:val="none" w:sz="0" w:space="0" w:color="auto"/>
                                                        <w:bottom w:val="none" w:sz="0" w:space="0" w:color="auto"/>
                                                        <w:right w:val="none" w:sz="0" w:space="0" w:color="auto"/>
                                                      </w:divBdr>
                                                      <w:divsChild>
                                                        <w:div w:id="1146049214">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652173">
      <w:bodyDiv w:val="1"/>
      <w:marLeft w:val="0"/>
      <w:marRight w:val="0"/>
      <w:marTop w:val="0"/>
      <w:marBottom w:val="0"/>
      <w:divBdr>
        <w:top w:val="none" w:sz="0" w:space="0" w:color="auto"/>
        <w:left w:val="none" w:sz="0" w:space="0" w:color="auto"/>
        <w:bottom w:val="none" w:sz="0" w:space="0" w:color="auto"/>
        <w:right w:val="none" w:sz="0" w:space="0" w:color="auto"/>
      </w:divBdr>
      <w:divsChild>
        <w:div w:id="962731366">
          <w:marLeft w:val="0"/>
          <w:marRight w:val="0"/>
          <w:marTop w:val="0"/>
          <w:marBottom w:val="0"/>
          <w:divBdr>
            <w:top w:val="none" w:sz="0" w:space="0" w:color="auto"/>
            <w:left w:val="none" w:sz="0" w:space="0" w:color="auto"/>
            <w:bottom w:val="none" w:sz="0" w:space="0" w:color="auto"/>
            <w:right w:val="none" w:sz="0" w:space="0" w:color="auto"/>
          </w:divBdr>
          <w:divsChild>
            <w:div w:id="460224358">
              <w:marLeft w:val="0"/>
              <w:marRight w:val="0"/>
              <w:marTop w:val="0"/>
              <w:marBottom w:val="0"/>
              <w:divBdr>
                <w:top w:val="none" w:sz="0" w:space="0" w:color="auto"/>
                <w:left w:val="none" w:sz="0" w:space="0" w:color="auto"/>
                <w:bottom w:val="none" w:sz="0" w:space="0" w:color="auto"/>
                <w:right w:val="none" w:sz="0" w:space="0" w:color="auto"/>
              </w:divBdr>
              <w:divsChild>
                <w:div w:id="509682514">
                  <w:marLeft w:val="0"/>
                  <w:marRight w:val="0"/>
                  <w:marTop w:val="0"/>
                  <w:marBottom w:val="0"/>
                  <w:divBdr>
                    <w:top w:val="none" w:sz="0" w:space="0" w:color="auto"/>
                    <w:left w:val="none" w:sz="0" w:space="0" w:color="auto"/>
                    <w:bottom w:val="none" w:sz="0" w:space="0" w:color="auto"/>
                    <w:right w:val="none" w:sz="0" w:space="0" w:color="auto"/>
                  </w:divBdr>
                  <w:divsChild>
                    <w:div w:id="866217495">
                      <w:marLeft w:val="0"/>
                      <w:marRight w:val="0"/>
                      <w:marTop w:val="0"/>
                      <w:marBottom w:val="0"/>
                      <w:divBdr>
                        <w:top w:val="none" w:sz="0" w:space="0" w:color="auto"/>
                        <w:left w:val="none" w:sz="0" w:space="0" w:color="auto"/>
                        <w:bottom w:val="none" w:sz="0" w:space="0" w:color="auto"/>
                        <w:right w:val="none" w:sz="0" w:space="0" w:color="auto"/>
                      </w:divBdr>
                      <w:divsChild>
                        <w:div w:id="95567697">
                          <w:marLeft w:val="0"/>
                          <w:marRight w:val="0"/>
                          <w:marTop w:val="0"/>
                          <w:marBottom w:val="0"/>
                          <w:divBdr>
                            <w:top w:val="none" w:sz="0" w:space="0" w:color="auto"/>
                            <w:left w:val="none" w:sz="0" w:space="0" w:color="auto"/>
                            <w:bottom w:val="none" w:sz="0" w:space="0" w:color="auto"/>
                            <w:right w:val="none" w:sz="0" w:space="0" w:color="auto"/>
                          </w:divBdr>
                          <w:divsChild>
                            <w:div w:id="1637952512">
                              <w:marLeft w:val="0"/>
                              <w:marRight w:val="0"/>
                              <w:marTop w:val="0"/>
                              <w:marBottom w:val="0"/>
                              <w:divBdr>
                                <w:top w:val="none" w:sz="0" w:space="0" w:color="auto"/>
                                <w:left w:val="none" w:sz="0" w:space="0" w:color="auto"/>
                                <w:bottom w:val="none" w:sz="0" w:space="0" w:color="auto"/>
                                <w:right w:val="none" w:sz="0" w:space="0" w:color="auto"/>
                              </w:divBdr>
                              <w:divsChild>
                                <w:div w:id="554121569">
                                  <w:marLeft w:val="0"/>
                                  <w:marRight w:val="0"/>
                                  <w:marTop w:val="0"/>
                                  <w:marBottom w:val="0"/>
                                  <w:divBdr>
                                    <w:top w:val="none" w:sz="0" w:space="0" w:color="auto"/>
                                    <w:left w:val="none" w:sz="0" w:space="0" w:color="auto"/>
                                    <w:bottom w:val="none" w:sz="0" w:space="0" w:color="auto"/>
                                    <w:right w:val="none" w:sz="0" w:space="0" w:color="auto"/>
                                  </w:divBdr>
                                  <w:divsChild>
                                    <w:div w:id="1708526597">
                                      <w:marLeft w:val="0"/>
                                      <w:marRight w:val="0"/>
                                      <w:marTop w:val="0"/>
                                      <w:marBottom w:val="0"/>
                                      <w:divBdr>
                                        <w:top w:val="none" w:sz="0" w:space="0" w:color="auto"/>
                                        <w:left w:val="none" w:sz="0" w:space="0" w:color="auto"/>
                                        <w:bottom w:val="none" w:sz="0" w:space="0" w:color="auto"/>
                                        <w:right w:val="none" w:sz="0" w:space="0" w:color="auto"/>
                                      </w:divBdr>
                                      <w:divsChild>
                                        <w:div w:id="1735086575">
                                          <w:marLeft w:val="3"/>
                                          <w:marRight w:val="3"/>
                                          <w:marTop w:val="0"/>
                                          <w:marBottom w:val="480"/>
                                          <w:divBdr>
                                            <w:top w:val="none" w:sz="0" w:space="0" w:color="auto"/>
                                            <w:left w:val="none" w:sz="0" w:space="0" w:color="auto"/>
                                            <w:bottom w:val="none" w:sz="0" w:space="0" w:color="auto"/>
                                            <w:right w:val="none" w:sz="0" w:space="0" w:color="auto"/>
                                          </w:divBdr>
                                          <w:divsChild>
                                            <w:div w:id="2087795946">
                                              <w:marLeft w:val="2"/>
                                              <w:marRight w:val="2"/>
                                              <w:marTop w:val="96"/>
                                              <w:marBottom w:val="2"/>
                                              <w:divBdr>
                                                <w:top w:val="none" w:sz="0" w:space="0" w:color="auto"/>
                                                <w:left w:val="single" w:sz="24" w:space="31" w:color="357857"/>
                                                <w:bottom w:val="none" w:sz="0" w:space="0" w:color="auto"/>
                                                <w:right w:val="single" w:sz="24" w:space="31" w:color="357857"/>
                                              </w:divBdr>
                                              <w:divsChild>
                                                <w:div w:id="2126073011">
                                                  <w:marLeft w:val="2"/>
                                                  <w:marRight w:val="2"/>
                                                  <w:marTop w:val="0"/>
                                                  <w:marBottom w:val="0"/>
                                                  <w:divBdr>
                                                    <w:top w:val="none" w:sz="0" w:space="0" w:color="auto"/>
                                                    <w:left w:val="none" w:sz="0" w:space="0" w:color="auto"/>
                                                    <w:bottom w:val="none" w:sz="0" w:space="0" w:color="auto"/>
                                                    <w:right w:val="none" w:sz="0" w:space="0" w:color="auto"/>
                                                  </w:divBdr>
                                                  <w:divsChild>
                                                    <w:div w:id="837616697">
                                                      <w:marLeft w:val="0"/>
                                                      <w:marRight w:val="0"/>
                                                      <w:marTop w:val="0"/>
                                                      <w:marBottom w:val="0"/>
                                                      <w:divBdr>
                                                        <w:top w:val="none" w:sz="0" w:space="0" w:color="auto"/>
                                                        <w:left w:val="none" w:sz="0" w:space="0" w:color="auto"/>
                                                        <w:bottom w:val="none" w:sz="0" w:space="0" w:color="auto"/>
                                                        <w:right w:val="none" w:sz="0" w:space="0" w:color="auto"/>
                                                      </w:divBdr>
                                                      <w:divsChild>
                                                        <w:div w:id="584188142">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2220915">
      <w:bodyDiv w:val="1"/>
      <w:marLeft w:val="0"/>
      <w:marRight w:val="0"/>
      <w:marTop w:val="0"/>
      <w:marBottom w:val="0"/>
      <w:divBdr>
        <w:top w:val="none" w:sz="0" w:space="0" w:color="auto"/>
        <w:left w:val="none" w:sz="0" w:space="0" w:color="auto"/>
        <w:bottom w:val="none" w:sz="0" w:space="0" w:color="auto"/>
        <w:right w:val="none" w:sz="0" w:space="0" w:color="auto"/>
      </w:divBdr>
      <w:divsChild>
        <w:div w:id="1870603483">
          <w:marLeft w:val="0"/>
          <w:marRight w:val="0"/>
          <w:marTop w:val="0"/>
          <w:marBottom w:val="0"/>
          <w:divBdr>
            <w:top w:val="none" w:sz="0" w:space="0" w:color="auto"/>
            <w:left w:val="none" w:sz="0" w:space="0" w:color="auto"/>
            <w:bottom w:val="none" w:sz="0" w:space="0" w:color="auto"/>
            <w:right w:val="none" w:sz="0" w:space="0" w:color="auto"/>
          </w:divBdr>
          <w:divsChild>
            <w:div w:id="903678990">
              <w:marLeft w:val="0"/>
              <w:marRight w:val="0"/>
              <w:marTop w:val="0"/>
              <w:marBottom w:val="0"/>
              <w:divBdr>
                <w:top w:val="none" w:sz="0" w:space="0" w:color="auto"/>
                <w:left w:val="none" w:sz="0" w:space="0" w:color="auto"/>
                <w:bottom w:val="none" w:sz="0" w:space="0" w:color="auto"/>
                <w:right w:val="none" w:sz="0" w:space="0" w:color="auto"/>
              </w:divBdr>
              <w:divsChild>
                <w:div w:id="1051002295">
                  <w:marLeft w:val="0"/>
                  <w:marRight w:val="0"/>
                  <w:marTop w:val="0"/>
                  <w:marBottom w:val="0"/>
                  <w:divBdr>
                    <w:top w:val="none" w:sz="0" w:space="0" w:color="auto"/>
                    <w:left w:val="none" w:sz="0" w:space="0" w:color="auto"/>
                    <w:bottom w:val="none" w:sz="0" w:space="0" w:color="auto"/>
                    <w:right w:val="none" w:sz="0" w:space="0" w:color="auto"/>
                  </w:divBdr>
                  <w:divsChild>
                    <w:div w:id="2028173689">
                      <w:marLeft w:val="0"/>
                      <w:marRight w:val="0"/>
                      <w:marTop w:val="0"/>
                      <w:marBottom w:val="0"/>
                      <w:divBdr>
                        <w:top w:val="none" w:sz="0" w:space="0" w:color="auto"/>
                        <w:left w:val="none" w:sz="0" w:space="0" w:color="auto"/>
                        <w:bottom w:val="none" w:sz="0" w:space="0" w:color="auto"/>
                        <w:right w:val="none" w:sz="0" w:space="0" w:color="auto"/>
                      </w:divBdr>
                      <w:divsChild>
                        <w:div w:id="513154657">
                          <w:marLeft w:val="0"/>
                          <w:marRight w:val="0"/>
                          <w:marTop w:val="0"/>
                          <w:marBottom w:val="0"/>
                          <w:divBdr>
                            <w:top w:val="none" w:sz="0" w:space="0" w:color="auto"/>
                            <w:left w:val="none" w:sz="0" w:space="0" w:color="auto"/>
                            <w:bottom w:val="none" w:sz="0" w:space="0" w:color="auto"/>
                            <w:right w:val="none" w:sz="0" w:space="0" w:color="auto"/>
                          </w:divBdr>
                          <w:divsChild>
                            <w:div w:id="1188059380">
                              <w:marLeft w:val="0"/>
                              <w:marRight w:val="0"/>
                              <w:marTop w:val="0"/>
                              <w:marBottom w:val="0"/>
                              <w:divBdr>
                                <w:top w:val="none" w:sz="0" w:space="0" w:color="auto"/>
                                <w:left w:val="none" w:sz="0" w:space="0" w:color="auto"/>
                                <w:bottom w:val="none" w:sz="0" w:space="0" w:color="auto"/>
                                <w:right w:val="none" w:sz="0" w:space="0" w:color="auto"/>
                              </w:divBdr>
                              <w:divsChild>
                                <w:div w:id="565919690">
                                  <w:marLeft w:val="0"/>
                                  <w:marRight w:val="0"/>
                                  <w:marTop w:val="0"/>
                                  <w:marBottom w:val="0"/>
                                  <w:divBdr>
                                    <w:top w:val="none" w:sz="0" w:space="0" w:color="auto"/>
                                    <w:left w:val="none" w:sz="0" w:space="0" w:color="auto"/>
                                    <w:bottom w:val="none" w:sz="0" w:space="0" w:color="auto"/>
                                    <w:right w:val="none" w:sz="0" w:space="0" w:color="auto"/>
                                  </w:divBdr>
                                  <w:divsChild>
                                    <w:div w:id="644436325">
                                      <w:marLeft w:val="0"/>
                                      <w:marRight w:val="0"/>
                                      <w:marTop w:val="0"/>
                                      <w:marBottom w:val="0"/>
                                      <w:divBdr>
                                        <w:top w:val="none" w:sz="0" w:space="0" w:color="auto"/>
                                        <w:left w:val="none" w:sz="0" w:space="0" w:color="auto"/>
                                        <w:bottom w:val="none" w:sz="0" w:space="0" w:color="auto"/>
                                        <w:right w:val="none" w:sz="0" w:space="0" w:color="auto"/>
                                      </w:divBdr>
                                      <w:divsChild>
                                        <w:div w:id="972445513">
                                          <w:marLeft w:val="3"/>
                                          <w:marRight w:val="3"/>
                                          <w:marTop w:val="0"/>
                                          <w:marBottom w:val="480"/>
                                          <w:divBdr>
                                            <w:top w:val="none" w:sz="0" w:space="0" w:color="auto"/>
                                            <w:left w:val="none" w:sz="0" w:space="0" w:color="auto"/>
                                            <w:bottom w:val="none" w:sz="0" w:space="0" w:color="auto"/>
                                            <w:right w:val="none" w:sz="0" w:space="0" w:color="auto"/>
                                          </w:divBdr>
                                          <w:divsChild>
                                            <w:div w:id="1227296340">
                                              <w:marLeft w:val="2"/>
                                              <w:marRight w:val="2"/>
                                              <w:marTop w:val="96"/>
                                              <w:marBottom w:val="2"/>
                                              <w:divBdr>
                                                <w:top w:val="none" w:sz="0" w:space="0" w:color="auto"/>
                                                <w:left w:val="single" w:sz="24" w:space="31" w:color="357857"/>
                                                <w:bottom w:val="none" w:sz="0" w:space="0" w:color="auto"/>
                                                <w:right w:val="single" w:sz="24" w:space="31" w:color="357857"/>
                                              </w:divBdr>
                                              <w:divsChild>
                                                <w:div w:id="1698971868">
                                                  <w:marLeft w:val="2"/>
                                                  <w:marRight w:val="2"/>
                                                  <w:marTop w:val="0"/>
                                                  <w:marBottom w:val="0"/>
                                                  <w:divBdr>
                                                    <w:top w:val="none" w:sz="0" w:space="0" w:color="auto"/>
                                                    <w:left w:val="none" w:sz="0" w:space="0" w:color="auto"/>
                                                    <w:bottom w:val="none" w:sz="0" w:space="0" w:color="auto"/>
                                                    <w:right w:val="none" w:sz="0" w:space="0" w:color="auto"/>
                                                  </w:divBdr>
                                                  <w:divsChild>
                                                    <w:div w:id="698892622">
                                                      <w:marLeft w:val="0"/>
                                                      <w:marRight w:val="0"/>
                                                      <w:marTop w:val="0"/>
                                                      <w:marBottom w:val="0"/>
                                                      <w:divBdr>
                                                        <w:top w:val="none" w:sz="0" w:space="0" w:color="auto"/>
                                                        <w:left w:val="none" w:sz="0" w:space="0" w:color="auto"/>
                                                        <w:bottom w:val="none" w:sz="0" w:space="0" w:color="auto"/>
                                                        <w:right w:val="none" w:sz="0" w:space="0" w:color="auto"/>
                                                      </w:divBdr>
                                                      <w:divsChild>
                                                        <w:div w:id="891842258">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nsultations/local-government-pension-scheme-england-and-wales-fit-for-the-future/outcome/local-government-pension-scheme-england-and-wales-fit-for-the-future-government-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d8eb6c54-0d84-48f8-8d59-4b5537eb58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C6775DAE4C1449AADE977DF92B4F47" ma:contentTypeVersion="13" ma:contentTypeDescription="Create a new document." ma:contentTypeScope="" ma:versionID="2f16ec63f88544061e66a82dea87aab6">
  <xsd:schema xmlns:xsd="http://www.w3.org/2001/XMLSchema" xmlns:xs="http://www.w3.org/2001/XMLSchema" xmlns:p="http://schemas.microsoft.com/office/2006/metadata/properties" xmlns:ns2="d8eb6c54-0d84-48f8-8d59-4b5537eb5816" xmlns:ns3="c3228960-8dda-4990-96fa-d0546ee09822" targetNamespace="http://schemas.microsoft.com/office/2006/metadata/properties" ma:root="true" ma:fieldsID="25b6c3a6da866b9aa4f0bd452b79b696" ns2:_="" ns3:_="">
    <xsd:import namespace="d8eb6c54-0d84-48f8-8d59-4b5537eb5816"/>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b6c54-0d84-48f8-8d59-4b5537eb5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81d3a49-112b-4f6b-9f76-f8260e924293}"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3B76C-F108-4FDA-B3EE-7E7AB5A2D93D}">
  <ds:schemaRefs>
    <ds:schemaRef ds:uri="http://schemas.microsoft.com/sharepoint/v3/contenttype/forms"/>
  </ds:schemaRefs>
</ds:datastoreItem>
</file>

<file path=customXml/itemProps2.xml><?xml version="1.0" encoding="utf-8"?>
<ds:datastoreItem xmlns:ds="http://schemas.openxmlformats.org/officeDocument/2006/customXml" ds:itemID="{473EFF98-7994-4693-BDDB-FE5B61C07621}">
  <ds:schemaRefs>
    <ds:schemaRef ds:uri="http://schemas.microsoft.com/office/2006/metadata/properties"/>
    <ds:schemaRef ds:uri="http://schemas.microsoft.com/office/infopath/2007/PartnerControls"/>
    <ds:schemaRef ds:uri="c3228960-8dda-4990-96fa-d0546ee09822"/>
    <ds:schemaRef ds:uri="d8eb6c54-0d84-48f8-8d59-4b5537eb5816"/>
  </ds:schemaRefs>
</ds:datastoreItem>
</file>

<file path=customXml/itemProps3.xml><?xml version="1.0" encoding="utf-8"?>
<ds:datastoreItem xmlns:ds="http://schemas.openxmlformats.org/officeDocument/2006/customXml" ds:itemID="{62953D45-FF4F-485B-BB01-FE3716439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b6c54-0d84-48f8-8d59-4b5537eb5816"/>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2B4EBF-493F-46C3-8F2A-87CB53DF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4158</Words>
  <Characters>23880</Characters>
  <Application>Microsoft Office Word</Application>
  <DocSecurity>8</DocSecurity>
  <Lines>199</Lines>
  <Paragraphs>55</Paragraphs>
  <ScaleCrop>false</ScaleCrop>
  <Company>NYCC</Company>
  <LinksUpToDate>false</LinksUpToDate>
  <CharactersWithSpaces>27983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YORKSHIRE COUNTY COUNCIL</dc:title>
  <dc:subject/>
  <dc:creator>NYCC</dc:creator>
  <cp:keywords/>
  <cp:lastModifiedBy>Jo Foster-Wade</cp:lastModifiedBy>
  <cp:revision>17</cp:revision>
  <cp:lastPrinted>2022-06-23T14:40:00Z</cp:lastPrinted>
  <dcterms:created xsi:type="dcterms:W3CDTF">2025-06-09T10:49:00Z</dcterms:created>
  <dcterms:modified xsi:type="dcterms:W3CDTF">2025-07-02T09:55:00Z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2021-05-27T15:29:59Z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9b72b814-ad22-4689-97c4-ceb971630185</vt:lpwstr>
  </property>
  <property fmtid="{D5CDD505-2E9C-101B-9397-08002B2CF9AE}" pid="8" name="MSIP_Label_2a4828c0-bf9e-487a-a999-4cc0afddd2a0_ContentBits">
    <vt:lpwstr>0</vt:lpwstr>
  </property>
  <property fmtid="{D5CDD505-2E9C-101B-9397-08002B2CF9AE}" pid="9" name="MSIP_Label_13f27b87-3675-4fb5-85ad-fce3efd3a6b0_Enabled">
    <vt:lpwstr>true</vt:lpwstr>
  </property>
  <property fmtid="{D5CDD505-2E9C-101B-9397-08002B2CF9AE}" pid="10" name="MSIP_Label_13f27b87-3675-4fb5-85ad-fce3efd3a6b0_SetDate">
    <vt:lpwstr>2021-07-19T12:32:07Z</vt:lpwstr>
  </property>
  <property fmtid="{D5CDD505-2E9C-101B-9397-08002B2CF9AE}" pid="11" name="MSIP_Label_13f27b87-3675-4fb5-85ad-fce3efd3a6b0_Method">
    <vt:lpwstr>Standard</vt:lpwstr>
  </property>
  <property fmtid="{D5CDD505-2E9C-101B-9397-08002B2CF9AE}" pid="12" name="MSIP_Label_13f27b87-3675-4fb5-85ad-fce3efd3a6b0_Name">
    <vt:lpwstr>OFFICIAL - SENSITIVE</vt:lpwstr>
  </property>
  <property fmtid="{D5CDD505-2E9C-101B-9397-08002B2CF9AE}" pid="13" name="MSIP_Label_13f27b87-3675-4fb5-85ad-fce3efd3a6b0_SiteId">
    <vt:lpwstr>ad3d9c73-9830-44a1-b487-e1055441c70e</vt:lpwstr>
  </property>
  <property fmtid="{D5CDD505-2E9C-101B-9397-08002B2CF9AE}" pid="14" name="MSIP_Label_13f27b87-3675-4fb5-85ad-fce3efd3a6b0_ActionId">
    <vt:lpwstr>987bb8a5-432d-48e2-8a84-f49cfd1ef036</vt:lpwstr>
  </property>
  <property fmtid="{D5CDD505-2E9C-101B-9397-08002B2CF9AE}" pid="15" name="MSIP_Label_13f27b87-3675-4fb5-85ad-fce3efd3a6b0_ContentBits">
    <vt:lpwstr>2</vt:lpwstr>
  </property>
  <property fmtid="{D5CDD505-2E9C-101B-9397-08002B2CF9AE}" pid="16" name="ContentTypeId">
    <vt:lpwstr>0x01010033C6775DAE4C1449AADE977DF92B4F47</vt:lpwstr>
  </property>
  <property fmtid="{D5CDD505-2E9C-101B-9397-08002B2CF9AE}" pid="17" name="Order">
    <vt:r8>100</vt:r8>
  </property>
  <property fmtid="{D5CDD505-2E9C-101B-9397-08002B2CF9AE}" pid="18" name="MediaServiceImageTags">
    <vt:lpwstr/>
  </property>
</Properties>
</file>