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00C4A" w14:textId="7B32B53B" w:rsidR="005A5999" w:rsidRDefault="001F0CBF" w:rsidP="006E0EE3">
      <w:pPr>
        <w:jc w:val="both"/>
      </w:pPr>
      <w:r>
        <w:rPr>
          <w:noProof/>
        </w:rPr>
        <w:drawing>
          <wp:anchor distT="0" distB="0" distL="114300" distR="114300" simplePos="0" relativeHeight="251658240" behindDoc="1" locked="0" layoutInCell="1" allowOverlap="1" wp14:anchorId="5CE7DF89" wp14:editId="58BD7940">
            <wp:simplePos x="0" y="0"/>
            <wp:positionH relativeFrom="column">
              <wp:posOffset>-63500</wp:posOffset>
            </wp:positionH>
            <wp:positionV relativeFrom="paragraph">
              <wp:posOffset>0</wp:posOffset>
            </wp:positionV>
            <wp:extent cx="5731510" cy="1525905"/>
            <wp:effectExtent l="0" t="0" r="2540" b="17145"/>
            <wp:wrapTight wrapText="bothSides">
              <wp:wrapPolygon edited="0">
                <wp:start x="0" y="0"/>
                <wp:lineTo x="0" y="21573"/>
                <wp:lineTo x="21538" y="21573"/>
                <wp:lineTo x="2153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31510" cy="1525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CACF02" w14:textId="77777777" w:rsidR="000F2C35" w:rsidRDefault="000F2C35" w:rsidP="006E0EE3">
      <w:pPr>
        <w:pStyle w:val="Default"/>
        <w:jc w:val="both"/>
        <w:rPr>
          <w:b/>
          <w:bCs/>
          <w:color w:val="70AD47" w:themeColor="accent6"/>
          <w:sz w:val="32"/>
          <w:szCs w:val="32"/>
        </w:rPr>
      </w:pPr>
    </w:p>
    <w:p w14:paraId="57F8A7B3" w14:textId="68B6A452" w:rsidR="00AD6929" w:rsidRPr="00AD6929" w:rsidRDefault="00AD6929" w:rsidP="006E0EE3">
      <w:pPr>
        <w:pStyle w:val="Default"/>
        <w:jc w:val="both"/>
        <w:rPr>
          <w:b/>
          <w:bCs/>
          <w:color w:val="70AD47" w:themeColor="accent6"/>
          <w:sz w:val="32"/>
          <w:szCs w:val="32"/>
        </w:rPr>
      </w:pPr>
      <w:r w:rsidRPr="00AD6929">
        <w:rPr>
          <w:b/>
          <w:bCs/>
          <w:color w:val="70AD47" w:themeColor="accent6"/>
          <w:sz w:val="32"/>
          <w:szCs w:val="32"/>
        </w:rPr>
        <w:t xml:space="preserve">Climate Change Statement </w:t>
      </w:r>
    </w:p>
    <w:p w14:paraId="6B6CFCC9" w14:textId="77777777" w:rsidR="00AD6929" w:rsidRPr="00AD6929" w:rsidRDefault="00AD6929" w:rsidP="006E0EE3">
      <w:pPr>
        <w:pStyle w:val="Default"/>
        <w:jc w:val="both"/>
        <w:rPr>
          <w:color w:val="00B050"/>
          <w:sz w:val="32"/>
          <w:szCs w:val="32"/>
        </w:rPr>
      </w:pPr>
    </w:p>
    <w:p w14:paraId="79466D84" w14:textId="6AFA5D91" w:rsidR="00AD6929" w:rsidRDefault="00AD6929" w:rsidP="006E0EE3">
      <w:pPr>
        <w:pStyle w:val="Default"/>
        <w:jc w:val="both"/>
        <w:rPr>
          <w:sz w:val="22"/>
          <w:szCs w:val="22"/>
        </w:rPr>
      </w:pPr>
      <w:r>
        <w:rPr>
          <w:sz w:val="22"/>
          <w:szCs w:val="22"/>
        </w:rPr>
        <w:t xml:space="preserve">When considering any issue </w:t>
      </w:r>
      <w:r w:rsidR="00D66799">
        <w:rPr>
          <w:sz w:val="22"/>
          <w:szCs w:val="22"/>
        </w:rPr>
        <w:t>regarding</w:t>
      </w:r>
      <w:r>
        <w:rPr>
          <w:sz w:val="22"/>
          <w:szCs w:val="22"/>
        </w:rPr>
        <w:t xml:space="preserve"> the Pension Fund it is important to recognise that the Pension Fund Committee members act </w:t>
      </w:r>
      <w:r w:rsidR="008D7B8F">
        <w:rPr>
          <w:sz w:val="22"/>
          <w:szCs w:val="22"/>
        </w:rPr>
        <w:t>as</w:t>
      </w:r>
      <w:r>
        <w:rPr>
          <w:sz w:val="22"/>
          <w:szCs w:val="22"/>
        </w:rPr>
        <w:t xml:space="preserve"> </w:t>
      </w:r>
      <w:r w:rsidR="008D7B8F">
        <w:rPr>
          <w:sz w:val="22"/>
          <w:szCs w:val="22"/>
        </w:rPr>
        <w:t>quasi-</w:t>
      </w:r>
      <w:r>
        <w:rPr>
          <w:sz w:val="22"/>
          <w:szCs w:val="22"/>
        </w:rPr>
        <w:t>trustees and have a fiduciary responsibility to both employers and members, to seek an appropriate financial return for the level of risk that is taken. Purely personal interests, social, moral or political views should not be taken into account.</w:t>
      </w:r>
    </w:p>
    <w:p w14:paraId="149FD347" w14:textId="77777777" w:rsidR="00AD6929" w:rsidRDefault="00AD6929" w:rsidP="006E0EE3">
      <w:pPr>
        <w:pStyle w:val="Default"/>
        <w:jc w:val="both"/>
        <w:rPr>
          <w:sz w:val="22"/>
          <w:szCs w:val="22"/>
        </w:rPr>
      </w:pPr>
    </w:p>
    <w:p w14:paraId="1DE46BF3" w14:textId="08D056F2" w:rsidR="00AD6929" w:rsidRDefault="00AD6929" w:rsidP="006E0EE3">
      <w:pPr>
        <w:pStyle w:val="Default"/>
        <w:jc w:val="both"/>
        <w:rPr>
          <w:sz w:val="22"/>
          <w:szCs w:val="22"/>
        </w:rPr>
      </w:pPr>
      <w:r>
        <w:rPr>
          <w:sz w:val="22"/>
          <w:szCs w:val="22"/>
        </w:rPr>
        <w:t>The Fund recognises that climate change is a significant financial risk and is challenging itself on how this is reflected in the investment strategy. The policy and approach in this area is constantly evolving. Any decisions on the investment of the Fund includes an assessment of the risks faced, including the issue of climate change, and which asset classes, sectors and companies to invest in.</w:t>
      </w:r>
    </w:p>
    <w:p w14:paraId="3BA43DEF" w14:textId="77777777" w:rsidR="00AD6929" w:rsidRDefault="00AD6929" w:rsidP="006E0EE3">
      <w:pPr>
        <w:pStyle w:val="Default"/>
        <w:jc w:val="both"/>
        <w:rPr>
          <w:sz w:val="22"/>
          <w:szCs w:val="22"/>
        </w:rPr>
      </w:pPr>
    </w:p>
    <w:p w14:paraId="6AF6D0AC" w14:textId="742CCACC" w:rsidR="00E9132E" w:rsidRPr="00062C6D" w:rsidRDefault="00AD6929" w:rsidP="006E0EE3">
      <w:pPr>
        <w:pStyle w:val="Default"/>
        <w:jc w:val="both"/>
        <w:rPr>
          <w:sz w:val="22"/>
          <w:szCs w:val="22"/>
        </w:rPr>
      </w:pPr>
      <w:r>
        <w:rPr>
          <w:sz w:val="22"/>
          <w:szCs w:val="22"/>
        </w:rPr>
        <w:t>The Fund’s Investment Strategy Statement and Responsible Investment Policy cover the extent to which environmental, social and governance considerations including climate change are taken into account in the selection, retention and realisation of investments. These documents are available on the Fund’s website</w:t>
      </w:r>
      <w:r w:rsidR="00E9132E">
        <w:rPr>
          <w:sz w:val="22"/>
          <w:szCs w:val="22"/>
        </w:rPr>
        <w:t xml:space="preserve"> </w:t>
      </w:r>
      <w:hyperlink r:id="rId11" w:history="1">
        <w:r w:rsidR="00062C6D" w:rsidRPr="00062C6D">
          <w:rPr>
            <w:rStyle w:val="Hyperlink"/>
            <w:sz w:val="22"/>
            <w:szCs w:val="22"/>
          </w:rPr>
          <w:t>https://nypf.org.uk/member-info/about-the-pension-fund/pension-fund-policies-strategies/</w:t>
        </w:r>
      </w:hyperlink>
    </w:p>
    <w:p w14:paraId="5F0DFAA7" w14:textId="26E8C042" w:rsidR="00AD6929" w:rsidRDefault="00AD6929" w:rsidP="006E0EE3">
      <w:pPr>
        <w:pStyle w:val="Default"/>
        <w:jc w:val="both"/>
        <w:rPr>
          <w:sz w:val="22"/>
          <w:szCs w:val="22"/>
        </w:rPr>
      </w:pPr>
      <w:r>
        <w:rPr>
          <w:sz w:val="22"/>
          <w:szCs w:val="22"/>
        </w:rPr>
        <w:t xml:space="preserve"> </w:t>
      </w:r>
    </w:p>
    <w:p w14:paraId="3655CD68" w14:textId="6EC4AF22" w:rsidR="00AD6929" w:rsidRDefault="00AD6929" w:rsidP="006E0EE3">
      <w:pPr>
        <w:pStyle w:val="Default"/>
        <w:jc w:val="both"/>
        <w:rPr>
          <w:sz w:val="22"/>
          <w:szCs w:val="22"/>
        </w:rPr>
      </w:pPr>
      <w:r>
        <w:rPr>
          <w:sz w:val="22"/>
          <w:szCs w:val="22"/>
        </w:rPr>
        <w:t>The Fund does not have a policy of divesting from companies and considers active engagement with companies a more productive approach to effecting change. Once the Fund divests, its ability to influence both the short term and long-term direction of individual companies is severely curtailed. If the Fund divested from the oil and gas or other sectors with heavy carbon footprints, then it would not reduce emissions (or climate change) but rather simply shift the emissions onto another investor who may be less engaged and therefore reduce the pressure on such companies to change.</w:t>
      </w:r>
    </w:p>
    <w:p w14:paraId="0A7F971A" w14:textId="77777777" w:rsidR="00AD6929" w:rsidRDefault="00AD6929" w:rsidP="006E0EE3">
      <w:pPr>
        <w:pStyle w:val="Default"/>
        <w:jc w:val="both"/>
        <w:rPr>
          <w:sz w:val="22"/>
          <w:szCs w:val="22"/>
        </w:rPr>
      </w:pPr>
    </w:p>
    <w:p w14:paraId="14B5E879" w14:textId="019AE8F6" w:rsidR="00AD6929" w:rsidRDefault="00AD6929" w:rsidP="006E0EE3">
      <w:pPr>
        <w:pStyle w:val="Default"/>
        <w:jc w:val="both"/>
        <w:rPr>
          <w:sz w:val="22"/>
          <w:szCs w:val="22"/>
        </w:rPr>
      </w:pPr>
      <w:r>
        <w:rPr>
          <w:sz w:val="22"/>
          <w:szCs w:val="22"/>
        </w:rPr>
        <w:t>The Fund works in collaboration with other pension funds on climate change issues through organisations such as the Local Authority Pension Fund Forum (LAPFF) and with its investment pooling partner Border to Coast, who is a member of Climate Action 100+. This approach ensures that the collective influence of investors has a bigger impact through engagement.</w:t>
      </w:r>
    </w:p>
    <w:p w14:paraId="2EE7D1CD" w14:textId="77777777" w:rsidR="00AD6929" w:rsidRDefault="00AD6929" w:rsidP="006E0EE3">
      <w:pPr>
        <w:pStyle w:val="Default"/>
        <w:jc w:val="both"/>
        <w:rPr>
          <w:sz w:val="22"/>
          <w:szCs w:val="22"/>
        </w:rPr>
      </w:pPr>
    </w:p>
    <w:p w14:paraId="21A42DB2" w14:textId="78BDAB0D" w:rsidR="00AD6929" w:rsidRDefault="00AD6929" w:rsidP="006E0EE3">
      <w:pPr>
        <w:pStyle w:val="Default"/>
        <w:jc w:val="both"/>
        <w:rPr>
          <w:sz w:val="22"/>
          <w:szCs w:val="22"/>
        </w:rPr>
      </w:pPr>
      <w:r>
        <w:rPr>
          <w:sz w:val="22"/>
          <w:szCs w:val="22"/>
        </w:rPr>
        <w:t xml:space="preserve">Border to Coast has a Responsible Investment Policy, Climate Change Policy and Corporate Governance and Voting </w:t>
      </w:r>
      <w:r w:rsidR="009679FC">
        <w:rPr>
          <w:sz w:val="22"/>
          <w:szCs w:val="22"/>
        </w:rPr>
        <w:t>G</w:t>
      </w:r>
      <w:r>
        <w:rPr>
          <w:sz w:val="22"/>
          <w:szCs w:val="22"/>
        </w:rPr>
        <w:t xml:space="preserve">uidelines document, published on its website </w:t>
      </w:r>
      <w:hyperlink r:id="rId12" w:history="1">
        <w:r w:rsidR="009679FC">
          <w:rPr>
            <w:rStyle w:val="Hyperlink"/>
            <w:sz w:val="22"/>
            <w:szCs w:val="22"/>
          </w:rPr>
          <w:t>https://www.bordertocoast.org.uk</w:t>
        </w:r>
      </w:hyperlink>
      <w:r>
        <w:rPr>
          <w:sz w:val="22"/>
          <w:szCs w:val="22"/>
        </w:rPr>
        <w:t xml:space="preserve">  which describe the collective approach to addressing climate related issues. This includes assessing investments in relation to climate risk, incorporating climate considerations into the investment decision making process and engagement with companies in line with the Financial Stability Board’s Task Force on </w:t>
      </w:r>
      <w:r w:rsidR="009679FC">
        <w:rPr>
          <w:sz w:val="22"/>
          <w:szCs w:val="22"/>
        </w:rPr>
        <w:t>C</w:t>
      </w:r>
      <w:r>
        <w:rPr>
          <w:sz w:val="22"/>
          <w:szCs w:val="22"/>
        </w:rPr>
        <w:t>limate Related Financial Disclosures (TCFD).</w:t>
      </w:r>
    </w:p>
    <w:p w14:paraId="07D900E9" w14:textId="77777777" w:rsidR="00AD6929" w:rsidRDefault="00AD6929" w:rsidP="006E0EE3">
      <w:pPr>
        <w:pStyle w:val="Default"/>
        <w:jc w:val="both"/>
        <w:rPr>
          <w:sz w:val="22"/>
          <w:szCs w:val="22"/>
        </w:rPr>
      </w:pPr>
    </w:p>
    <w:p w14:paraId="1A73F541" w14:textId="77777777" w:rsidR="000F2C35" w:rsidRDefault="00AD6929" w:rsidP="006E0EE3">
      <w:pPr>
        <w:pStyle w:val="Default"/>
        <w:jc w:val="both"/>
        <w:rPr>
          <w:sz w:val="22"/>
          <w:szCs w:val="22"/>
        </w:rPr>
      </w:pPr>
      <w:r>
        <w:rPr>
          <w:sz w:val="22"/>
          <w:szCs w:val="22"/>
        </w:rPr>
        <w:t xml:space="preserve">The Fund has a range of renewable energy investments in the UK and abroad, such as wind farms and solar power farms, geothermal energy plants and energy from waste facilities. This is a growing area of investment activity, in particular in the infrastructure investment programme where the allocation </w:t>
      </w:r>
      <w:r w:rsidR="009679FC">
        <w:rPr>
          <w:sz w:val="22"/>
          <w:szCs w:val="22"/>
        </w:rPr>
        <w:t>is 10%</w:t>
      </w:r>
      <w:r>
        <w:rPr>
          <w:sz w:val="22"/>
          <w:szCs w:val="22"/>
        </w:rPr>
        <w:t>.</w:t>
      </w:r>
      <w:r w:rsidR="009679FC">
        <w:rPr>
          <w:sz w:val="22"/>
          <w:szCs w:val="22"/>
        </w:rPr>
        <w:t xml:space="preserve">  </w:t>
      </w:r>
    </w:p>
    <w:p w14:paraId="3279C0EF" w14:textId="0CBF1ACD" w:rsidR="00AD6929" w:rsidRDefault="009679FC" w:rsidP="006E0EE3">
      <w:pPr>
        <w:pStyle w:val="Default"/>
        <w:jc w:val="both"/>
        <w:rPr>
          <w:sz w:val="22"/>
          <w:szCs w:val="22"/>
        </w:rPr>
      </w:pPr>
      <w:r>
        <w:rPr>
          <w:sz w:val="22"/>
          <w:szCs w:val="22"/>
        </w:rPr>
        <w:lastRenderedPageBreak/>
        <w:t xml:space="preserve">In addition, the Fund has made a substantial investment in Border to Coast’s Climate Opportunities fund which aims to have a positive impact on climate change and supporting long-term net zero carbon emissions goals. </w:t>
      </w:r>
    </w:p>
    <w:p w14:paraId="798E1503" w14:textId="77777777" w:rsidR="00AD6929" w:rsidRDefault="00AD6929" w:rsidP="006E0EE3">
      <w:pPr>
        <w:pStyle w:val="Default"/>
        <w:jc w:val="both"/>
        <w:rPr>
          <w:sz w:val="22"/>
          <w:szCs w:val="22"/>
        </w:rPr>
      </w:pPr>
    </w:p>
    <w:p w14:paraId="5AB51E89" w14:textId="77777777" w:rsidR="009679FC" w:rsidRDefault="00AD6929" w:rsidP="006E0EE3">
      <w:pPr>
        <w:pStyle w:val="Default"/>
        <w:jc w:val="both"/>
        <w:rPr>
          <w:sz w:val="22"/>
          <w:szCs w:val="22"/>
        </w:rPr>
      </w:pPr>
      <w:r>
        <w:rPr>
          <w:sz w:val="22"/>
          <w:szCs w:val="22"/>
        </w:rPr>
        <w:t>The Fund also has investments in property funds where ESG metrics are regularly monitored with a view to improving their credentials. This includes using renewable energy sources and generating energy on site, for example through solar panels, to drive down the carbon footprint of these buildings.</w:t>
      </w:r>
    </w:p>
    <w:p w14:paraId="03EB5E4E" w14:textId="7161486E" w:rsidR="00AD6929" w:rsidRDefault="00AD6929" w:rsidP="006E0EE3">
      <w:pPr>
        <w:pStyle w:val="Default"/>
        <w:jc w:val="both"/>
        <w:rPr>
          <w:sz w:val="22"/>
          <w:szCs w:val="22"/>
        </w:rPr>
      </w:pPr>
    </w:p>
    <w:p w14:paraId="778D82C4" w14:textId="4B980D25" w:rsidR="00AD6929" w:rsidRDefault="00AD6929" w:rsidP="006E0EE3">
      <w:pPr>
        <w:pStyle w:val="Default"/>
        <w:jc w:val="both"/>
        <w:rPr>
          <w:sz w:val="22"/>
          <w:szCs w:val="22"/>
        </w:rPr>
      </w:pPr>
      <w:r>
        <w:rPr>
          <w:sz w:val="22"/>
          <w:szCs w:val="22"/>
        </w:rPr>
        <w:t>The Pension Fund Committee considers the implications of climate change at every meeting. They approved a set of responsible investment beliefs which included beliefs specific to risks associated with climate change.</w:t>
      </w:r>
    </w:p>
    <w:p w14:paraId="3C5C4F92" w14:textId="77777777" w:rsidR="00AD6929" w:rsidRDefault="00AD6929" w:rsidP="006E0EE3">
      <w:pPr>
        <w:pStyle w:val="Default"/>
        <w:jc w:val="both"/>
        <w:rPr>
          <w:sz w:val="22"/>
          <w:szCs w:val="22"/>
        </w:rPr>
      </w:pPr>
    </w:p>
    <w:p w14:paraId="4293B158" w14:textId="455FE30B" w:rsidR="00AD6929" w:rsidRDefault="00AD6929" w:rsidP="006E0EE3">
      <w:pPr>
        <w:jc w:val="both"/>
      </w:pPr>
      <w:r>
        <w:t xml:space="preserve">In summary, the Fund recognises that climate change is a significant financial risk and is persistently challenging itself on how this is </w:t>
      </w:r>
      <w:r w:rsidR="008D7B8F">
        <w:t>considered</w:t>
      </w:r>
      <w:r>
        <w:t xml:space="preserve">, and at the same ensuring the Pension Fund Committee </w:t>
      </w:r>
      <w:r w:rsidR="008E237F">
        <w:t>can</w:t>
      </w:r>
      <w:r>
        <w:t xml:space="preserve"> meet its fiduciary duty and responsibility to individual employers and members. Opportunities to increase investments in the renewable energy sectors, within the infrastructure allocation of the Fund, are being pursued. This is an ongoing process as the climate change agenda moves forward.</w:t>
      </w:r>
    </w:p>
    <w:sectPr w:rsidR="00AD6929" w:rsidSect="000F2C35">
      <w:footerReference w:type="default" r:id="rId13"/>
      <w:pgSz w:w="11906" w:h="16838"/>
      <w:pgMar w:top="851" w:right="1440" w:bottom="709" w:left="1440" w:header="708" w:footer="4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92368" w14:textId="77777777" w:rsidR="006822C6" w:rsidRDefault="006822C6" w:rsidP="009679FC">
      <w:pPr>
        <w:spacing w:after="0" w:line="240" w:lineRule="auto"/>
      </w:pPr>
      <w:r>
        <w:separator/>
      </w:r>
    </w:p>
  </w:endnote>
  <w:endnote w:type="continuationSeparator" w:id="0">
    <w:p w14:paraId="425912FD" w14:textId="77777777" w:rsidR="006822C6" w:rsidRDefault="006822C6" w:rsidP="00967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B6BB0" w14:textId="75A5CE6E" w:rsidR="009679FC" w:rsidRPr="000F2C35" w:rsidRDefault="009679FC">
    <w:pPr>
      <w:pStyle w:val="Footer"/>
      <w:rPr>
        <w:sz w:val="18"/>
        <w:szCs w:val="18"/>
      </w:rPr>
    </w:pPr>
    <w:r>
      <w:rPr>
        <w:noProof/>
      </w:rPr>
      <mc:AlternateContent>
        <mc:Choice Requires="wps">
          <w:drawing>
            <wp:anchor distT="0" distB="0" distL="114300" distR="114300" simplePos="0" relativeHeight="251659264" behindDoc="0" locked="0" layoutInCell="0" allowOverlap="1" wp14:anchorId="5B0A36F0" wp14:editId="43B0220A">
              <wp:simplePos x="0" y="0"/>
              <wp:positionH relativeFrom="page">
                <wp:posOffset>0</wp:posOffset>
              </wp:positionH>
              <wp:positionV relativeFrom="page">
                <wp:posOffset>10227945</wp:posOffset>
              </wp:positionV>
              <wp:extent cx="7560310" cy="273050"/>
              <wp:effectExtent l="0" t="0" r="0" b="12700"/>
              <wp:wrapNone/>
              <wp:docPr id="1" name="MSIPCMe8fa43e3b2563ac5e5f9c480"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3D716A" w14:textId="0DFABCBB" w:rsidR="009679FC" w:rsidRPr="009679FC" w:rsidRDefault="009679FC" w:rsidP="009679FC">
                          <w:pPr>
                            <w:spacing w:after="0"/>
                            <w:jc w:val="center"/>
                            <w:rPr>
                              <w:rFonts w:ascii="Calibri" w:hAnsi="Calibri" w:cs="Calibri"/>
                              <w:color w:val="FF0000"/>
                              <w:sz w:val="20"/>
                            </w:rPr>
                          </w:pPr>
                          <w:r w:rsidRPr="009679FC">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0A36F0" id="_x0000_t202" coordsize="21600,21600" o:spt="202" path="m,l,21600r21600,l21600,xe">
              <v:stroke joinstyle="miter"/>
              <v:path gradientshapeok="t" o:connecttype="rect"/>
            </v:shapetype>
            <v:shape id="MSIPCMe8fa43e3b2563ac5e5f9c480" o:spid="_x0000_s1026" type="#_x0000_t202" alt="{&quot;HashCode&quot;:-1399272816,&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013D716A" w14:textId="0DFABCBB" w:rsidR="009679FC" w:rsidRPr="009679FC" w:rsidRDefault="009679FC" w:rsidP="009679FC">
                    <w:pPr>
                      <w:spacing w:after="0"/>
                      <w:jc w:val="center"/>
                      <w:rPr>
                        <w:rFonts w:ascii="Calibri" w:hAnsi="Calibri" w:cs="Calibri"/>
                        <w:color w:val="FF0000"/>
                        <w:sz w:val="20"/>
                      </w:rPr>
                    </w:pPr>
                    <w:r w:rsidRPr="009679FC">
                      <w:rPr>
                        <w:rFonts w:ascii="Calibri" w:hAnsi="Calibri" w:cs="Calibri"/>
                        <w:color w:val="FF0000"/>
                        <w:sz w:val="20"/>
                      </w:rPr>
                      <w:t>OFFICIAL</w:t>
                    </w:r>
                  </w:p>
                </w:txbxContent>
              </v:textbox>
              <w10:wrap anchorx="page" anchory="page"/>
            </v:shape>
          </w:pict>
        </mc:Fallback>
      </mc:AlternateContent>
    </w:r>
    <w:r w:rsidR="000F2C35">
      <w:tab/>
    </w:r>
    <w:r w:rsidR="000F2C35">
      <w:tab/>
    </w:r>
    <w:r w:rsidR="000F2C35" w:rsidRPr="000F2C35">
      <w:rPr>
        <w:sz w:val="18"/>
        <w:szCs w:val="18"/>
      </w:rPr>
      <w:t>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A9821" w14:textId="77777777" w:rsidR="006822C6" w:rsidRDefault="006822C6" w:rsidP="009679FC">
      <w:pPr>
        <w:spacing w:after="0" w:line="240" w:lineRule="auto"/>
      </w:pPr>
      <w:r>
        <w:separator/>
      </w:r>
    </w:p>
  </w:footnote>
  <w:footnote w:type="continuationSeparator" w:id="0">
    <w:p w14:paraId="2790CAB7" w14:textId="77777777" w:rsidR="006822C6" w:rsidRDefault="006822C6" w:rsidP="009679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929"/>
    <w:rsid w:val="00062C6D"/>
    <w:rsid w:val="000F2C35"/>
    <w:rsid w:val="001F0CBF"/>
    <w:rsid w:val="005A5999"/>
    <w:rsid w:val="006051E4"/>
    <w:rsid w:val="00642A94"/>
    <w:rsid w:val="006822C6"/>
    <w:rsid w:val="006E0EE3"/>
    <w:rsid w:val="00786881"/>
    <w:rsid w:val="00792B5F"/>
    <w:rsid w:val="008D7B8F"/>
    <w:rsid w:val="008E237F"/>
    <w:rsid w:val="009679FC"/>
    <w:rsid w:val="009E38C9"/>
    <w:rsid w:val="00AD6929"/>
    <w:rsid w:val="00B174DF"/>
    <w:rsid w:val="00D66799"/>
    <w:rsid w:val="00D851EE"/>
    <w:rsid w:val="00E913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AB3C2"/>
  <w15:chartTrackingRefBased/>
  <w15:docId w15:val="{72414E9E-4CE8-47A7-A915-557083B8E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6929"/>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rsid w:val="00AD69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D6929"/>
    <w:rPr>
      <w:color w:val="0563C1" w:themeColor="hyperlink"/>
      <w:u w:val="single"/>
    </w:rPr>
  </w:style>
  <w:style w:type="character" w:styleId="UnresolvedMention">
    <w:name w:val="Unresolved Mention"/>
    <w:basedOn w:val="DefaultParagraphFont"/>
    <w:uiPriority w:val="99"/>
    <w:semiHidden/>
    <w:unhideWhenUsed/>
    <w:rsid w:val="00AD6929"/>
    <w:rPr>
      <w:color w:val="605E5C"/>
      <w:shd w:val="clear" w:color="auto" w:fill="E1DFDD"/>
    </w:rPr>
  </w:style>
  <w:style w:type="paragraph" w:styleId="Header">
    <w:name w:val="header"/>
    <w:basedOn w:val="Normal"/>
    <w:link w:val="HeaderChar"/>
    <w:uiPriority w:val="99"/>
    <w:unhideWhenUsed/>
    <w:rsid w:val="009679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9FC"/>
  </w:style>
  <w:style w:type="paragraph" w:styleId="Footer">
    <w:name w:val="footer"/>
    <w:basedOn w:val="Normal"/>
    <w:link w:val="FooterChar"/>
    <w:uiPriority w:val="99"/>
    <w:unhideWhenUsed/>
    <w:rsid w:val="009679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9FC"/>
  </w:style>
  <w:style w:type="paragraph" w:styleId="Revision">
    <w:name w:val="Revision"/>
    <w:hidden/>
    <w:uiPriority w:val="99"/>
    <w:semiHidden/>
    <w:rsid w:val="00B174DF"/>
    <w:pPr>
      <w:spacing w:after="0" w:line="240" w:lineRule="auto"/>
    </w:pPr>
  </w:style>
  <w:style w:type="character" w:styleId="FollowedHyperlink">
    <w:name w:val="FollowedHyperlink"/>
    <w:basedOn w:val="DefaultParagraphFont"/>
    <w:uiPriority w:val="99"/>
    <w:semiHidden/>
    <w:unhideWhenUsed/>
    <w:rsid w:val="00E913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bordertocoast.org.uk/publications/?_sfm_publication_document_type=Responsible%20Investment%20Polic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ypf.org.uk/member-info/about-the-pension-fund/pension-fund-policies-strategie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file:///N:\fcs-data\TECHTEAM\Website\Live%20website%204.12.2023\Logo%20in%20colour%20on%20white%20background%20for%20letterhead.jpg"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F8C4F0FAEB114380415350592C2C27" ma:contentTypeVersion="13" ma:contentTypeDescription="Create a new document." ma:contentTypeScope="" ma:versionID="41654e69589f16ebad3909e0e971da68">
  <xsd:schema xmlns:xsd="http://www.w3.org/2001/XMLSchema" xmlns:xs="http://www.w3.org/2001/XMLSchema" xmlns:p="http://schemas.microsoft.com/office/2006/metadata/properties" xmlns:ns2="6d3fb399-ddd8-4b48-a090-0e375b114716" xmlns:ns3="c3228960-8dda-4990-96fa-d0546ee09822" targetNamespace="http://schemas.microsoft.com/office/2006/metadata/properties" ma:root="true" ma:fieldsID="2bd60f356272d1fbaa0d95bea79155a3" ns2:_="" ns3:_="">
    <xsd:import namespace="6d3fb399-ddd8-4b48-a090-0e375b114716"/>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fb399-ddd8-4b48-a090-0e375b114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47a77f1-cf3c-4eb3-ad1c-cfadb09caf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81d3a49-112b-4f6b-9f76-f8260e924293}" ma:internalName="TaxCatchAll" ma:showField="CatchAllData" ma:web="c3228960-8dda-4990-96fa-d0546ee0982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3fb399-ddd8-4b48-a090-0e375b114716">
      <Terms xmlns="http://schemas.microsoft.com/office/infopath/2007/PartnerControls"/>
    </lcf76f155ced4ddcb4097134ff3c332f>
    <TaxCatchAll xmlns="c3228960-8dda-4990-96fa-d0546ee09822" xsi:nil="true"/>
  </documentManagement>
</p:properties>
</file>

<file path=customXml/itemProps1.xml><?xml version="1.0" encoding="utf-8"?>
<ds:datastoreItem xmlns:ds="http://schemas.openxmlformats.org/officeDocument/2006/customXml" ds:itemID="{AC430DB4-6572-4C98-ABC6-25F11B0B7757}">
  <ds:schemaRefs>
    <ds:schemaRef ds:uri="http://schemas.microsoft.com/sharepoint/v3/contenttype/forms"/>
  </ds:schemaRefs>
</ds:datastoreItem>
</file>

<file path=customXml/itemProps2.xml><?xml version="1.0" encoding="utf-8"?>
<ds:datastoreItem xmlns:ds="http://schemas.openxmlformats.org/officeDocument/2006/customXml" ds:itemID="{22D539DC-F875-4F6A-B39D-B99C9B349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fb399-ddd8-4b48-a090-0e375b114716"/>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C53895-BB4B-42E4-9FD7-26A9C0835792}">
  <ds:schemaRefs>
    <ds:schemaRef ds:uri="http://purl.org/dc/elements/1.1/"/>
    <ds:schemaRef ds:uri="http://www.w3.org/XML/1998/namespace"/>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6d3fb399-ddd8-4b48-a090-0e375b114716"/>
    <ds:schemaRef ds:uri="c3228960-8dda-4990-96fa-d0546ee0982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Morrison</dc:creator>
  <cp:keywords/>
  <dc:description/>
  <cp:lastModifiedBy>Ashley Scutt</cp:lastModifiedBy>
  <cp:revision>2</cp:revision>
  <dcterms:created xsi:type="dcterms:W3CDTF">2024-07-01T07:57:00Z</dcterms:created>
  <dcterms:modified xsi:type="dcterms:W3CDTF">2024-07-01T07:57:00Z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dfc32-7be5-4b17-9f97-00453388bdd7_Enabled">
    <vt:lpwstr>true</vt:lpwstr>
  </property>
  <property fmtid="{D5CDD505-2E9C-101B-9397-08002B2CF9AE}" pid="3" name="MSIP_Label_3ecdfc32-7be5-4b17-9f97-00453388bdd7_SetDate">
    <vt:lpwstr>2023-06-14T09:57:32Z</vt:lpwstr>
  </property>
  <property fmtid="{D5CDD505-2E9C-101B-9397-08002B2CF9AE}" pid="4" name="MSIP_Label_3ecdfc32-7be5-4b17-9f97-00453388bdd7_Method">
    <vt:lpwstr>Standard</vt:lpwstr>
  </property>
  <property fmtid="{D5CDD505-2E9C-101B-9397-08002B2CF9AE}" pid="5" name="MSIP_Label_3ecdfc32-7be5-4b17-9f97-00453388bdd7_Name">
    <vt:lpwstr>OFFICIAL</vt:lpwstr>
  </property>
  <property fmtid="{D5CDD505-2E9C-101B-9397-08002B2CF9AE}" pid="6" name="MSIP_Label_3ecdfc32-7be5-4b17-9f97-00453388bdd7_SiteId">
    <vt:lpwstr>ad3d9c73-9830-44a1-b487-e1055441c70e</vt:lpwstr>
  </property>
  <property fmtid="{D5CDD505-2E9C-101B-9397-08002B2CF9AE}" pid="7" name="MSIP_Label_3ecdfc32-7be5-4b17-9f97-00453388bdd7_ActionId">
    <vt:lpwstr>a36db1e4-b99f-4c85-a3f3-43488671e340</vt:lpwstr>
  </property>
  <property fmtid="{D5CDD505-2E9C-101B-9397-08002B2CF9AE}" pid="8" name="MSIP_Label_3ecdfc32-7be5-4b17-9f97-00453388bdd7_ContentBits">
    <vt:lpwstr>2</vt:lpwstr>
  </property>
  <property fmtid="{D5CDD505-2E9C-101B-9397-08002B2CF9AE}" pid="9" name="ContentTypeId">
    <vt:lpwstr>0x01010094F8C4F0FAEB114380415350592C2C27</vt:lpwstr>
  </property>
  <property fmtid="{D5CDD505-2E9C-101B-9397-08002B2CF9AE}" pid="10" name="Order">
    <vt:r8>100</vt:r8>
  </property>
</Properties>
</file>